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E5" w:rsidRPr="00CD6DE5" w:rsidRDefault="00CD6DE5" w:rsidP="00CD6DE5">
      <w:pPr>
        <w:spacing w:line="288" w:lineRule="auto"/>
        <w:jc w:val="both"/>
        <w:rPr>
          <w:lang w:val="da-DK"/>
        </w:rPr>
      </w:pPr>
      <w:bookmarkStart w:id="0" w:name="_GoBack"/>
      <w:bookmarkEnd w:id="0"/>
      <w:r w:rsidRPr="00CD6DE5">
        <w:rPr>
          <w:lang w:val="da-DK"/>
        </w:rPr>
        <w:t xml:space="preserve">Skatteministeriet </w:t>
      </w:r>
      <w:r>
        <w:fldChar w:fldCharType="begin"/>
      </w:r>
      <w:r w:rsidRPr="00CD6DE5">
        <w:rPr>
          <w:lang w:val="da-DK"/>
        </w:rPr>
        <w:instrText>ADVANCE \r255</w:instrText>
      </w:r>
      <w:r>
        <w:fldChar w:fldCharType="end"/>
      </w:r>
      <w:r w:rsidRPr="00CD6DE5">
        <w:rPr>
          <w:lang w:val="da-DK"/>
        </w:rPr>
        <w:t xml:space="preserve">J. nr. </w:t>
      </w:r>
      <w:r w:rsidR="004B3A83">
        <w:rPr>
          <w:lang w:val="da-DK"/>
        </w:rPr>
        <w:t>13-0578850</w:t>
      </w:r>
    </w:p>
    <w:p w:rsidR="00CD6DE5" w:rsidRPr="00CD6DE5" w:rsidRDefault="00CD6DE5" w:rsidP="00FA5727">
      <w:pPr>
        <w:spacing w:line="288" w:lineRule="auto"/>
        <w:rPr>
          <w:lang w:val="da-DK"/>
        </w:rPr>
      </w:pPr>
      <w:r w:rsidRPr="00CD6DE5">
        <w:rPr>
          <w:lang w:val="da-DK"/>
        </w:rPr>
        <w:t xml:space="preserve">Udkast </w:t>
      </w:r>
    </w:p>
    <w:p w:rsidR="00CD6DE5" w:rsidRPr="00CD6DE5" w:rsidRDefault="00CD6DE5" w:rsidP="00CD6DE5">
      <w:pPr>
        <w:spacing w:line="288" w:lineRule="auto"/>
        <w:jc w:val="both"/>
        <w:rPr>
          <w:lang w:val="da-DK"/>
        </w:rPr>
      </w:pPr>
    </w:p>
    <w:p w:rsidR="00CD6DE5" w:rsidRPr="00CD6DE5" w:rsidRDefault="00CD6DE5" w:rsidP="00CD6DE5">
      <w:pPr>
        <w:spacing w:line="288" w:lineRule="auto"/>
        <w:jc w:val="both"/>
        <w:rPr>
          <w:lang w:val="da-DK"/>
        </w:rPr>
      </w:pPr>
    </w:p>
    <w:p w:rsidR="00CD6DE5" w:rsidRPr="00CD6DE5" w:rsidRDefault="00CD6DE5" w:rsidP="00CD6DE5">
      <w:pPr>
        <w:spacing w:line="288" w:lineRule="auto"/>
        <w:jc w:val="both"/>
        <w:rPr>
          <w:lang w:val="da-DK"/>
        </w:rPr>
      </w:pPr>
    </w:p>
    <w:p w:rsidR="00CD6DE5" w:rsidRPr="00CD6DE5" w:rsidRDefault="00CD6DE5" w:rsidP="00CD6DE5">
      <w:pPr>
        <w:spacing w:line="288" w:lineRule="auto"/>
        <w:jc w:val="both"/>
        <w:rPr>
          <w:lang w:val="da-DK"/>
        </w:rPr>
      </w:pPr>
    </w:p>
    <w:p w:rsidR="00CD6DE5" w:rsidRPr="00CD6DE5" w:rsidRDefault="00CD6DE5" w:rsidP="00CD6DE5">
      <w:pPr>
        <w:spacing w:line="288" w:lineRule="auto"/>
        <w:jc w:val="both"/>
        <w:rPr>
          <w:lang w:val="da-DK"/>
        </w:rPr>
      </w:pPr>
    </w:p>
    <w:p w:rsidR="00DE30E0" w:rsidRPr="00DE30E0" w:rsidRDefault="00DE30E0" w:rsidP="00DE30E0">
      <w:pPr>
        <w:jc w:val="center"/>
        <w:rPr>
          <w:b/>
          <w:bCs/>
          <w:sz w:val="28"/>
          <w:lang w:val="da-DK"/>
        </w:rPr>
      </w:pPr>
      <w:bookmarkStart w:id="1" w:name="_Toc207591971"/>
      <w:bookmarkStart w:id="2" w:name="_Toc207684802"/>
      <w:bookmarkStart w:id="3" w:name="_Toc210026133"/>
      <w:r w:rsidRPr="00DE30E0">
        <w:rPr>
          <w:b/>
          <w:bCs/>
          <w:sz w:val="28"/>
          <w:lang w:val="da-DK"/>
        </w:rPr>
        <w:t xml:space="preserve">Forslag </w:t>
      </w:r>
    </w:p>
    <w:p w:rsidR="00DE30E0" w:rsidRPr="00DE30E0" w:rsidRDefault="00DE30E0" w:rsidP="00DE30E0">
      <w:pPr>
        <w:jc w:val="center"/>
        <w:rPr>
          <w:lang w:val="da-DK"/>
        </w:rPr>
      </w:pPr>
      <w:r w:rsidRPr="00DE30E0">
        <w:rPr>
          <w:lang w:val="da-DK"/>
        </w:rPr>
        <w:t xml:space="preserve">til </w:t>
      </w:r>
    </w:p>
    <w:p w:rsidR="00DE30E0" w:rsidRDefault="00DE30E0" w:rsidP="00DE30E0">
      <w:pPr>
        <w:jc w:val="center"/>
        <w:rPr>
          <w:b/>
          <w:sz w:val="28"/>
          <w:lang w:val="da-DK"/>
        </w:rPr>
      </w:pPr>
      <w:r w:rsidRPr="00EF78DF">
        <w:rPr>
          <w:b/>
          <w:sz w:val="28"/>
          <w:lang w:val="da-DK"/>
        </w:rPr>
        <w:t xml:space="preserve">Lov om ændring af </w:t>
      </w:r>
      <w:r w:rsidR="004B3A83">
        <w:rPr>
          <w:b/>
          <w:sz w:val="28"/>
          <w:lang w:val="da-DK"/>
        </w:rPr>
        <w:t xml:space="preserve">lov om en børne- og ungeydelse og </w:t>
      </w:r>
      <w:r w:rsidR="004B3A83" w:rsidRPr="004B3A83">
        <w:rPr>
          <w:b/>
          <w:sz w:val="28"/>
          <w:lang w:val="da-DK"/>
        </w:rPr>
        <w:t>lov om børnetilskud og forskudsvis udbetaling af børnebidrag</w:t>
      </w:r>
    </w:p>
    <w:p w:rsidR="00DE30E0" w:rsidRPr="00DE30E0" w:rsidRDefault="00DE30E0" w:rsidP="00DE30E0">
      <w:pPr>
        <w:jc w:val="center"/>
        <w:rPr>
          <w:lang w:val="da-DK"/>
        </w:rPr>
      </w:pPr>
      <w:r w:rsidRPr="00DE30E0">
        <w:rPr>
          <w:lang w:val="da-DK"/>
        </w:rPr>
        <w:t>(</w:t>
      </w:r>
      <w:r w:rsidR="00D02B0F">
        <w:rPr>
          <w:lang w:val="da-DK"/>
        </w:rPr>
        <w:t>Lovfæstelse af ændret anvendelse af optjeningsprincippet</w:t>
      </w:r>
      <w:r w:rsidR="00A83C8B">
        <w:rPr>
          <w:lang w:val="da-DK"/>
        </w:rPr>
        <w:t xml:space="preserve"> i sager om børne- og ungeydelse og børnetilskud</w:t>
      </w:r>
      <w:r w:rsidRPr="00DE30E0">
        <w:rPr>
          <w:lang w:val="da-DK"/>
        </w:rPr>
        <w:t>)</w:t>
      </w:r>
      <w:r w:rsidR="005D5CC5">
        <w:rPr>
          <w:lang w:val="da-DK"/>
        </w:rPr>
        <w:t xml:space="preserve"> </w:t>
      </w:r>
    </w:p>
    <w:p w:rsidR="00DE30E0" w:rsidRPr="00DE30E0" w:rsidRDefault="00DE30E0" w:rsidP="00DE30E0">
      <w:pPr>
        <w:spacing w:line="288" w:lineRule="auto"/>
        <w:jc w:val="center"/>
        <w:rPr>
          <w:lang w:val="da-DK"/>
        </w:rPr>
      </w:pPr>
    </w:p>
    <w:p w:rsidR="00DE30E0" w:rsidRPr="00DE30E0" w:rsidRDefault="00DE30E0" w:rsidP="00DE30E0">
      <w:pPr>
        <w:spacing w:line="288" w:lineRule="auto"/>
        <w:jc w:val="both"/>
        <w:rPr>
          <w:lang w:val="da-DK"/>
        </w:rPr>
      </w:pPr>
    </w:p>
    <w:p w:rsidR="00DE30E0" w:rsidRPr="00DE30E0" w:rsidRDefault="00DE30E0" w:rsidP="00DE30E0">
      <w:pPr>
        <w:ind w:left="3600" w:firstLine="720"/>
        <w:rPr>
          <w:lang w:val="da-DK"/>
        </w:rPr>
      </w:pPr>
      <w:r w:rsidRPr="00DE30E0">
        <w:rPr>
          <w:b/>
          <w:lang w:val="da-DK"/>
        </w:rPr>
        <w:t>§ 1</w:t>
      </w:r>
      <w:r w:rsidRPr="00DE30E0">
        <w:rPr>
          <w:lang w:val="da-DK"/>
        </w:rPr>
        <w:t xml:space="preserve"> </w:t>
      </w:r>
    </w:p>
    <w:p w:rsidR="00DE30E0" w:rsidRPr="00DE30E0" w:rsidRDefault="00DE30E0" w:rsidP="00DE30E0">
      <w:pPr>
        <w:jc w:val="center"/>
        <w:rPr>
          <w:lang w:val="da-DK"/>
        </w:rPr>
      </w:pPr>
    </w:p>
    <w:p w:rsidR="00DE30E0" w:rsidRPr="00DE30E0" w:rsidRDefault="00DE30E0" w:rsidP="00DE30E0">
      <w:pPr>
        <w:spacing w:line="288" w:lineRule="auto"/>
        <w:ind w:firstLine="720"/>
        <w:rPr>
          <w:lang w:val="da-DK"/>
        </w:rPr>
      </w:pPr>
      <w:r w:rsidRPr="00DE30E0">
        <w:rPr>
          <w:rStyle w:val="Fodnotehenvisning"/>
          <w:rFonts w:eastAsia="Arial Unicode MS"/>
          <w:lang w:val="da-DK"/>
        </w:rPr>
        <w:t>I</w:t>
      </w:r>
      <w:r w:rsidRPr="00DE30E0">
        <w:rPr>
          <w:lang w:val="da-DK"/>
        </w:rPr>
        <w:t xml:space="preserve"> lov</w:t>
      </w:r>
      <w:r w:rsidR="004B3A83">
        <w:rPr>
          <w:lang w:val="da-DK"/>
        </w:rPr>
        <w:t xml:space="preserve"> om en børne- og ungeydelse</w:t>
      </w:r>
      <w:r w:rsidRPr="00DE30E0">
        <w:rPr>
          <w:lang w:val="da-DK"/>
        </w:rPr>
        <w:t>, jf. lovbekendtgørelse nr.</w:t>
      </w:r>
      <w:r w:rsidR="00905E3F">
        <w:rPr>
          <w:lang w:val="da-DK"/>
        </w:rPr>
        <w:t xml:space="preserve"> </w:t>
      </w:r>
      <w:r w:rsidR="004B3A83">
        <w:rPr>
          <w:lang w:val="da-DK"/>
        </w:rPr>
        <w:t>964</w:t>
      </w:r>
      <w:r w:rsidR="00905E3F">
        <w:rPr>
          <w:lang w:val="da-DK"/>
        </w:rPr>
        <w:t xml:space="preserve"> af 19. september 2011</w:t>
      </w:r>
      <w:r w:rsidRPr="00DE30E0">
        <w:rPr>
          <w:lang w:val="da-DK"/>
        </w:rPr>
        <w:t xml:space="preserve">, som ændret ved </w:t>
      </w:r>
      <w:r w:rsidR="001B36B1">
        <w:rPr>
          <w:lang w:val="da-DK"/>
        </w:rPr>
        <w:t>§ 7 i lov nr. 1382 af 28. december 2011, § 9 i lov nr. 326 af 11. april 2012, § 2 i lov nr. 920 af 18. september 2012</w:t>
      </w:r>
      <w:r w:rsidR="001E7A0A">
        <w:rPr>
          <w:lang w:val="da-DK"/>
        </w:rPr>
        <w:t xml:space="preserve"> og § 2 i lov nr. 1398 af 23. december 2012</w:t>
      </w:r>
      <w:r w:rsidRPr="00DE30E0">
        <w:rPr>
          <w:lang w:val="da-DK"/>
        </w:rPr>
        <w:t>, foretages følgende ændring</w:t>
      </w:r>
      <w:r w:rsidR="007E3FF7">
        <w:rPr>
          <w:lang w:val="da-DK"/>
        </w:rPr>
        <w:t>er</w:t>
      </w:r>
      <w:r w:rsidRPr="00DE30E0">
        <w:rPr>
          <w:lang w:val="da-DK"/>
        </w:rPr>
        <w:t>:</w:t>
      </w:r>
    </w:p>
    <w:p w:rsidR="00DE30E0" w:rsidRPr="00DE30E0" w:rsidRDefault="00DE30E0" w:rsidP="00DE30E0">
      <w:pPr>
        <w:spacing w:line="288" w:lineRule="auto"/>
        <w:rPr>
          <w:lang w:val="da-DK"/>
        </w:rPr>
      </w:pPr>
    </w:p>
    <w:p w:rsidR="007812DE" w:rsidRDefault="00B37674" w:rsidP="00DD4B2D">
      <w:pPr>
        <w:spacing w:line="288" w:lineRule="auto"/>
        <w:rPr>
          <w:b/>
          <w:i/>
          <w:lang w:val="da-DK"/>
        </w:rPr>
      </w:pPr>
      <w:r w:rsidRPr="00DD4B2D">
        <w:rPr>
          <w:b/>
          <w:lang w:val="da-DK"/>
        </w:rPr>
        <w:t>1.</w:t>
      </w:r>
      <w:r>
        <w:rPr>
          <w:lang w:val="da-DK"/>
        </w:rPr>
        <w:t xml:space="preserve"> I</w:t>
      </w:r>
      <w:r w:rsidR="00370422" w:rsidRPr="00DD4B2D">
        <w:rPr>
          <w:i/>
          <w:lang w:val="da-DK"/>
        </w:rPr>
        <w:t xml:space="preserve"> </w:t>
      </w:r>
      <w:r w:rsidR="00370422" w:rsidRPr="007956F8">
        <w:rPr>
          <w:i/>
          <w:lang w:val="da-DK"/>
        </w:rPr>
        <w:t xml:space="preserve">§ 2, stk. </w:t>
      </w:r>
      <w:r w:rsidR="00405261">
        <w:rPr>
          <w:i/>
          <w:lang w:val="da-DK"/>
        </w:rPr>
        <w:t>1</w:t>
      </w:r>
      <w:r w:rsidR="00370422" w:rsidRPr="00DD4B2D">
        <w:rPr>
          <w:i/>
          <w:lang w:val="da-DK"/>
        </w:rPr>
        <w:t>,</w:t>
      </w:r>
      <w:r w:rsidR="00405261" w:rsidRPr="00DD4B2D">
        <w:rPr>
          <w:i/>
          <w:lang w:val="da-DK"/>
        </w:rPr>
        <w:t xml:space="preserve"> nr. 7, 1. pkt.,</w:t>
      </w:r>
      <w:r w:rsidR="00405261">
        <w:rPr>
          <w:lang w:val="da-DK"/>
        </w:rPr>
        <w:t xml:space="preserve"> </w:t>
      </w:r>
      <w:r w:rsidR="00124034">
        <w:rPr>
          <w:lang w:val="da-DK"/>
        </w:rPr>
        <w:t>indsættes</w:t>
      </w:r>
      <w:r w:rsidR="00124034" w:rsidRPr="00370422">
        <w:rPr>
          <w:lang w:val="da-DK"/>
        </w:rPr>
        <w:t xml:space="preserve"> </w:t>
      </w:r>
      <w:r w:rsidR="00370422" w:rsidRPr="00370422">
        <w:rPr>
          <w:lang w:val="da-DK"/>
        </w:rPr>
        <w:t>efter ”</w:t>
      </w:r>
      <w:r w:rsidR="00405261">
        <w:rPr>
          <w:lang w:val="da-DK"/>
        </w:rPr>
        <w:t>vedrører</w:t>
      </w:r>
      <w:r w:rsidR="00370422" w:rsidRPr="00370422">
        <w:rPr>
          <w:lang w:val="da-DK"/>
        </w:rPr>
        <w:t xml:space="preserve">”: ”, </w:t>
      </w:r>
      <w:r w:rsidR="00405261">
        <w:rPr>
          <w:lang w:val="da-DK"/>
        </w:rPr>
        <w:t>jf. dog stk. 4</w:t>
      </w:r>
      <w:r w:rsidR="007812DE">
        <w:rPr>
          <w:lang w:val="da-DK"/>
        </w:rPr>
        <w:t>”</w:t>
      </w:r>
      <w:r w:rsidR="007338DD">
        <w:rPr>
          <w:lang w:val="da-DK"/>
        </w:rPr>
        <w:t>.</w:t>
      </w:r>
    </w:p>
    <w:p w:rsidR="007812DE" w:rsidRDefault="007812DE" w:rsidP="00DD4B2D">
      <w:pPr>
        <w:spacing w:line="288" w:lineRule="auto"/>
        <w:ind w:left="360"/>
        <w:rPr>
          <w:b/>
          <w:lang w:val="da-DK"/>
        </w:rPr>
      </w:pPr>
    </w:p>
    <w:p w:rsidR="00433F67" w:rsidRDefault="00B37674" w:rsidP="00DD4B2D">
      <w:pPr>
        <w:spacing w:line="288" w:lineRule="auto"/>
        <w:rPr>
          <w:i/>
          <w:lang w:val="da-DK"/>
        </w:rPr>
      </w:pPr>
      <w:r w:rsidRPr="00DD4B2D">
        <w:rPr>
          <w:b/>
          <w:lang w:val="da-DK"/>
        </w:rPr>
        <w:t>2.</w:t>
      </w:r>
      <w:r>
        <w:rPr>
          <w:lang w:val="da-DK"/>
        </w:rPr>
        <w:t xml:space="preserve"> I</w:t>
      </w:r>
      <w:r w:rsidR="007812DE" w:rsidRPr="00DD4B2D">
        <w:rPr>
          <w:i/>
          <w:lang w:val="da-DK"/>
        </w:rPr>
        <w:t xml:space="preserve"> § </w:t>
      </w:r>
      <w:r w:rsidR="0013473B" w:rsidRPr="007812DE">
        <w:rPr>
          <w:i/>
          <w:lang w:val="da-DK"/>
        </w:rPr>
        <w:t>2</w:t>
      </w:r>
      <w:r w:rsidR="0013473B">
        <w:rPr>
          <w:i/>
          <w:lang w:val="da-DK"/>
        </w:rPr>
        <w:t xml:space="preserve"> </w:t>
      </w:r>
      <w:r w:rsidR="0013473B" w:rsidRPr="00DD4B2D">
        <w:rPr>
          <w:lang w:val="da-DK"/>
        </w:rPr>
        <w:t>indsættes</w:t>
      </w:r>
      <w:r w:rsidR="007812DE" w:rsidRPr="00DD4B2D">
        <w:rPr>
          <w:lang w:val="da-DK"/>
        </w:rPr>
        <w:t xml:space="preserve"> som</w:t>
      </w:r>
      <w:r w:rsidR="007812DE" w:rsidRPr="00DD4B2D">
        <w:rPr>
          <w:i/>
          <w:lang w:val="da-DK"/>
        </w:rPr>
        <w:t xml:space="preserve"> stk. 4:</w:t>
      </w:r>
    </w:p>
    <w:p w:rsidR="007812DE" w:rsidRPr="007812DE" w:rsidRDefault="007812DE" w:rsidP="00DD4B2D">
      <w:pPr>
        <w:spacing w:line="288" w:lineRule="auto"/>
        <w:rPr>
          <w:b/>
          <w:i/>
          <w:lang w:val="da-DK"/>
        </w:rPr>
      </w:pPr>
      <w:r w:rsidRPr="007812DE">
        <w:rPr>
          <w:b/>
          <w:i/>
          <w:lang w:val="da-DK"/>
        </w:rPr>
        <w:t xml:space="preserve"> </w:t>
      </w:r>
      <w:r w:rsidR="00E164D8">
        <w:rPr>
          <w:lang w:val="da-DK"/>
        </w:rPr>
        <w:t>”</w:t>
      </w:r>
      <w:r w:rsidR="00433F67" w:rsidRPr="00DE069F">
        <w:rPr>
          <w:i/>
          <w:lang w:val="da-DK"/>
        </w:rPr>
        <w:t>Stk. 4.</w:t>
      </w:r>
      <w:r w:rsidR="00433F67">
        <w:rPr>
          <w:lang w:val="da-DK"/>
        </w:rPr>
        <w:t xml:space="preserve"> </w:t>
      </w:r>
      <w:r w:rsidRPr="00DD4B2D">
        <w:rPr>
          <w:lang w:val="da-DK"/>
        </w:rPr>
        <w:t>I tilfælde omfattet af Europa-Parlamentets og Rådets forordning (EF) nr. 883/2004 af 29. april 2004 om koordinering af de sociale sikringsordninger finder forordningens artikel 6 om sammenlægning af perioder anvendelse.</w:t>
      </w:r>
      <w:r w:rsidRPr="007812DE">
        <w:rPr>
          <w:lang w:val="da-DK"/>
        </w:rPr>
        <w:t>”</w:t>
      </w:r>
    </w:p>
    <w:p w:rsidR="00EC450C" w:rsidRPr="00F318AD" w:rsidRDefault="00EC450C" w:rsidP="00EC450C">
      <w:pPr>
        <w:spacing w:line="288" w:lineRule="auto"/>
        <w:ind w:left="720"/>
        <w:rPr>
          <w:b/>
          <w:i/>
          <w:lang w:val="da-DK"/>
        </w:rPr>
      </w:pPr>
    </w:p>
    <w:p w:rsidR="00DE30E0" w:rsidRPr="00DE30E0" w:rsidRDefault="00DE30E0" w:rsidP="00DE30E0">
      <w:pPr>
        <w:tabs>
          <w:tab w:val="left" w:pos="360"/>
        </w:tabs>
        <w:spacing w:line="288" w:lineRule="auto"/>
        <w:rPr>
          <w:b/>
          <w:bCs/>
          <w:lang w:val="da-DK"/>
        </w:rPr>
      </w:pPr>
      <w:r w:rsidRPr="00DE30E0">
        <w:rPr>
          <w:b/>
          <w:bCs/>
          <w:lang w:val="da-DK"/>
        </w:rPr>
        <w:tab/>
      </w:r>
      <w:r w:rsidRPr="00DE30E0">
        <w:rPr>
          <w:b/>
          <w:bCs/>
          <w:lang w:val="da-DK"/>
        </w:rPr>
        <w:tab/>
      </w:r>
      <w:r w:rsidRPr="00DE30E0">
        <w:rPr>
          <w:b/>
          <w:bCs/>
          <w:lang w:val="da-DK"/>
        </w:rPr>
        <w:tab/>
      </w:r>
      <w:r w:rsidRPr="00DE30E0">
        <w:rPr>
          <w:b/>
          <w:bCs/>
          <w:lang w:val="da-DK"/>
        </w:rPr>
        <w:tab/>
      </w:r>
      <w:r w:rsidRPr="00DE30E0">
        <w:rPr>
          <w:b/>
          <w:bCs/>
          <w:lang w:val="da-DK"/>
        </w:rPr>
        <w:tab/>
      </w:r>
      <w:r w:rsidRPr="00DE30E0">
        <w:rPr>
          <w:b/>
          <w:bCs/>
          <w:lang w:val="da-DK"/>
        </w:rPr>
        <w:tab/>
      </w:r>
      <w:r w:rsidRPr="00DE30E0">
        <w:rPr>
          <w:b/>
          <w:bCs/>
          <w:lang w:val="da-DK"/>
        </w:rPr>
        <w:tab/>
        <w:t>§ 2</w:t>
      </w:r>
    </w:p>
    <w:p w:rsidR="00DE30E0" w:rsidRPr="00DE30E0" w:rsidRDefault="00DE30E0" w:rsidP="00DE30E0">
      <w:pPr>
        <w:tabs>
          <w:tab w:val="left" w:pos="360"/>
        </w:tabs>
        <w:spacing w:line="288" w:lineRule="auto"/>
        <w:rPr>
          <w:iCs/>
          <w:lang w:val="da-DK"/>
        </w:rPr>
      </w:pPr>
      <w:r w:rsidRPr="00DE30E0">
        <w:rPr>
          <w:iCs/>
          <w:lang w:val="da-DK"/>
        </w:rPr>
        <w:tab/>
      </w:r>
    </w:p>
    <w:p w:rsidR="00DE30E0" w:rsidRDefault="00DE30E0" w:rsidP="00DE30E0">
      <w:pPr>
        <w:spacing w:line="288" w:lineRule="auto"/>
        <w:ind w:firstLine="720"/>
        <w:rPr>
          <w:lang w:val="da-DK"/>
        </w:rPr>
      </w:pPr>
      <w:r w:rsidRPr="00DE30E0">
        <w:rPr>
          <w:lang w:val="da-DK"/>
        </w:rPr>
        <w:t xml:space="preserve">I </w:t>
      </w:r>
      <w:r w:rsidR="00655418">
        <w:rPr>
          <w:lang w:val="da-DK"/>
        </w:rPr>
        <w:t>lov om børnetilskud og forskudsvis udbetaling af børnebidrag</w:t>
      </w:r>
      <w:r w:rsidRPr="00DE30E0">
        <w:rPr>
          <w:lang w:val="da-DK"/>
        </w:rPr>
        <w:t xml:space="preserve">, jf. lovbekendtgørelse nr. </w:t>
      </w:r>
      <w:r w:rsidR="00655418" w:rsidRPr="00655418">
        <w:rPr>
          <w:lang w:val="da-DK"/>
        </w:rPr>
        <w:t>856</w:t>
      </w:r>
      <w:r w:rsidR="00655418">
        <w:rPr>
          <w:lang w:val="da-DK"/>
        </w:rPr>
        <w:t xml:space="preserve"> af 23. august 2012</w:t>
      </w:r>
      <w:r w:rsidRPr="00DE30E0">
        <w:rPr>
          <w:lang w:val="da-DK"/>
        </w:rPr>
        <w:t xml:space="preserve">, som ændret ved </w:t>
      </w:r>
      <w:r w:rsidR="00655418">
        <w:rPr>
          <w:lang w:val="da-DK"/>
        </w:rPr>
        <w:t>§ 1 i lov</w:t>
      </w:r>
      <w:r w:rsidR="00655418" w:rsidRPr="00655418">
        <w:rPr>
          <w:lang w:val="da-DK"/>
        </w:rPr>
        <w:t xml:space="preserve"> nr</w:t>
      </w:r>
      <w:r w:rsidR="00655418">
        <w:rPr>
          <w:lang w:val="da-DK"/>
        </w:rPr>
        <w:t>.</w:t>
      </w:r>
      <w:r w:rsidR="00655418" w:rsidRPr="00655418">
        <w:rPr>
          <w:lang w:val="da-DK"/>
        </w:rPr>
        <w:t xml:space="preserve"> 1398 af 23</w:t>
      </w:r>
      <w:r w:rsidR="00655418">
        <w:rPr>
          <w:lang w:val="da-DK"/>
        </w:rPr>
        <w:t xml:space="preserve">. december </w:t>
      </w:r>
      <w:r w:rsidR="00655418" w:rsidRPr="00655418">
        <w:rPr>
          <w:lang w:val="da-DK"/>
        </w:rPr>
        <w:t>2012</w:t>
      </w:r>
      <w:r w:rsidR="00655418">
        <w:rPr>
          <w:lang w:val="da-DK"/>
        </w:rPr>
        <w:t xml:space="preserve"> og § 5 i lov</w:t>
      </w:r>
      <w:r w:rsidR="00655418" w:rsidRPr="00655418">
        <w:rPr>
          <w:lang w:val="da-DK"/>
        </w:rPr>
        <w:t xml:space="preserve"> nr</w:t>
      </w:r>
      <w:r w:rsidR="00655418">
        <w:rPr>
          <w:lang w:val="da-DK"/>
        </w:rPr>
        <w:t>.</w:t>
      </w:r>
      <w:r w:rsidR="00655418" w:rsidRPr="00655418">
        <w:rPr>
          <w:lang w:val="da-DK"/>
        </w:rPr>
        <w:t xml:space="preserve"> 894 af 4</w:t>
      </w:r>
      <w:r w:rsidR="00655418">
        <w:rPr>
          <w:lang w:val="da-DK"/>
        </w:rPr>
        <w:t xml:space="preserve">. juli </w:t>
      </w:r>
      <w:r w:rsidR="00655418" w:rsidRPr="00655418">
        <w:rPr>
          <w:lang w:val="da-DK"/>
        </w:rPr>
        <w:t>2013</w:t>
      </w:r>
      <w:r w:rsidRPr="00DE30E0">
        <w:rPr>
          <w:lang w:val="da-DK"/>
        </w:rPr>
        <w:t>, foretages følgende ændring</w:t>
      </w:r>
      <w:r w:rsidR="007E3FF7">
        <w:rPr>
          <w:lang w:val="da-DK"/>
        </w:rPr>
        <w:t>er</w:t>
      </w:r>
      <w:r w:rsidRPr="00DE30E0">
        <w:rPr>
          <w:lang w:val="da-DK"/>
        </w:rPr>
        <w:t>:</w:t>
      </w:r>
    </w:p>
    <w:p w:rsidR="00E164D8" w:rsidRDefault="00E164D8" w:rsidP="00DD4B2D">
      <w:pPr>
        <w:spacing w:line="288" w:lineRule="auto"/>
        <w:rPr>
          <w:lang w:val="da-DK"/>
        </w:rPr>
      </w:pPr>
    </w:p>
    <w:p w:rsidR="00D969C0" w:rsidRDefault="00B37674" w:rsidP="00DD4B2D">
      <w:pPr>
        <w:spacing w:line="288" w:lineRule="auto"/>
        <w:rPr>
          <w:lang w:val="da-DK"/>
        </w:rPr>
      </w:pPr>
      <w:r w:rsidRPr="00DD4B2D">
        <w:rPr>
          <w:b/>
          <w:lang w:val="da-DK"/>
        </w:rPr>
        <w:t>1.</w:t>
      </w:r>
      <w:r>
        <w:rPr>
          <w:lang w:val="da-DK"/>
        </w:rPr>
        <w:t xml:space="preserve"> I</w:t>
      </w:r>
      <w:r w:rsidR="00E164D8">
        <w:rPr>
          <w:lang w:val="da-DK"/>
        </w:rPr>
        <w:t xml:space="preserve"> </w:t>
      </w:r>
      <w:r w:rsidR="00E164D8" w:rsidRPr="00DD4B2D">
        <w:rPr>
          <w:i/>
          <w:lang w:val="da-DK"/>
        </w:rPr>
        <w:t>§ 5 a, stk. 1</w:t>
      </w:r>
      <w:r w:rsidR="00E164D8">
        <w:rPr>
          <w:lang w:val="da-DK"/>
        </w:rPr>
        <w:t xml:space="preserve">, indsættes </w:t>
      </w:r>
      <w:r w:rsidR="00D969C0">
        <w:rPr>
          <w:lang w:val="da-DK"/>
        </w:rPr>
        <w:t>efter ”vedrører</w:t>
      </w:r>
      <w:r w:rsidR="00F329BB">
        <w:rPr>
          <w:lang w:val="da-DK"/>
        </w:rPr>
        <w:t>”: ”,</w:t>
      </w:r>
      <w:r w:rsidR="00784E5E">
        <w:rPr>
          <w:lang w:val="da-DK"/>
        </w:rPr>
        <w:t xml:space="preserve"> </w:t>
      </w:r>
      <w:r w:rsidR="00F329BB">
        <w:rPr>
          <w:lang w:val="da-DK"/>
        </w:rPr>
        <w:t>jf. dog stk. 4</w:t>
      </w:r>
      <w:r w:rsidR="00D969C0">
        <w:rPr>
          <w:lang w:val="da-DK"/>
        </w:rPr>
        <w:t>”.</w:t>
      </w:r>
    </w:p>
    <w:p w:rsidR="00D969C0" w:rsidRDefault="00D969C0" w:rsidP="00DD4B2D">
      <w:pPr>
        <w:spacing w:line="288" w:lineRule="auto"/>
        <w:rPr>
          <w:lang w:val="da-DK"/>
        </w:rPr>
      </w:pPr>
    </w:p>
    <w:p w:rsidR="004815B3" w:rsidRDefault="00D969C0" w:rsidP="00DD4B2D">
      <w:pPr>
        <w:spacing w:line="288" w:lineRule="auto"/>
        <w:rPr>
          <w:i/>
          <w:lang w:val="da-DK"/>
        </w:rPr>
      </w:pPr>
      <w:r w:rsidRPr="00DD4B2D">
        <w:rPr>
          <w:b/>
          <w:lang w:val="da-DK"/>
        </w:rPr>
        <w:t>2.</w:t>
      </w:r>
      <w:r>
        <w:rPr>
          <w:lang w:val="da-DK"/>
        </w:rPr>
        <w:t xml:space="preserve"> I </w:t>
      </w:r>
      <w:r w:rsidRPr="00DD4B2D">
        <w:rPr>
          <w:i/>
          <w:lang w:val="da-DK"/>
        </w:rPr>
        <w:t>§ 5</w:t>
      </w:r>
      <w:r w:rsidR="008C64A5" w:rsidRPr="00DD4B2D">
        <w:rPr>
          <w:i/>
          <w:lang w:val="da-DK"/>
        </w:rPr>
        <w:t xml:space="preserve"> a</w:t>
      </w:r>
      <w:r w:rsidR="008C64A5">
        <w:rPr>
          <w:lang w:val="da-DK"/>
        </w:rPr>
        <w:t xml:space="preserve"> indsættes </w:t>
      </w:r>
      <w:r w:rsidR="00784E5E">
        <w:rPr>
          <w:lang w:val="da-DK"/>
        </w:rPr>
        <w:t>efter</w:t>
      </w:r>
      <w:r w:rsidR="00433F67">
        <w:rPr>
          <w:lang w:val="da-DK"/>
        </w:rPr>
        <w:t xml:space="preserve"> </w:t>
      </w:r>
      <w:r w:rsidR="00E164D8" w:rsidRPr="00DE069F">
        <w:rPr>
          <w:lang w:val="da-DK"/>
        </w:rPr>
        <w:t xml:space="preserve">stk. </w:t>
      </w:r>
      <w:r w:rsidR="00433F67" w:rsidRPr="00DE069F">
        <w:rPr>
          <w:lang w:val="da-DK"/>
        </w:rPr>
        <w:t>3</w:t>
      </w:r>
      <w:r w:rsidR="00433F67">
        <w:rPr>
          <w:lang w:val="da-DK"/>
        </w:rPr>
        <w:t xml:space="preserve"> som nyt stykke</w:t>
      </w:r>
      <w:r w:rsidR="00E164D8">
        <w:rPr>
          <w:i/>
          <w:lang w:val="da-DK"/>
        </w:rPr>
        <w:t>:</w:t>
      </w:r>
    </w:p>
    <w:p w:rsidR="00B37674" w:rsidRDefault="00E164D8" w:rsidP="00DD4B2D">
      <w:pPr>
        <w:spacing w:line="288" w:lineRule="auto"/>
        <w:rPr>
          <w:lang w:val="da-DK"/>
        </w:rPr>
      </w:pPr>
      <w:r>
        <w:rPr>
          <w:i/>
          <w:lang w:val="da-DK"/>
        </w:rPr>
        <w:t xml:space="preserve"> </w:t>
      </w:r>
      <w:r>
        <w:rPr>
          <w:lang w:val="da-DK"/>
        </w:rPr>
        <w:t>”</w:t>
      </w:r>
      <w:r w:rsidR="00433F67" w:rsidRPr="00DE069F">
        <w:rPr>
          <w:i/>
          <w:lang w:val="da-DK"/>
        </w:rPr>
        <w:t>Stk. 4.</w:t>
      </w:r>
      <w:r w:rsidR="00433F67">
        <w:rPr>
          <w:lang w:val="da-DK"/>
        </w:rPr>
        <w:t xml:space="preserve"> </w:t>
      </w:r>
      <w:r>
        <w:rPr>
          <w:lang w:val="da-DK"/>
        </w:rPr>
        <w:t>I tilfælde omfattet af Europa-Parlamentets og Rådets forordning (EF) nr. 883/2004 af 29. april 2004 om koordinering af de sociale sikringsordninger finder forordningens artikel 6 om sammenlægning af perioder anvendelse.”</w:t>
      </w:r>
    </w:p>
    <w:p w:rsidR="00F45ED9" w:rsidRDefault="00F45ED9" w:rsidP="00DD4B2D">
      <w:pPr>
        <w:spacing w:line="288" w:lineRule="auto"/>
        <w:rPr>
          <w:lang w:val="da-DK"/>
        </w:rPr>
      </w:pPr>
      <w:r w:rsidRPr="00DD4B2D">
        <w:rPr>
          <w:lang w:val="da-DK"/>
        </w:rPr>
        <w:lastRenderedPageBreak/>
        <w:t xml:space="preserve">Stk. </w:t>
      </w:r>
      <w:r w:rsidR="00F329BB">
        <w:rPr>
          <w:lang w:val="da-DK"/>
        </w:rPr>
        <w:t>4</w:t>
      </w:r>
      <w:r w:rsidRPr="00DD4B2D">
        <w:rPr>
          <w:lang w:val="da-DK"/>
        </w:rPr>
        <w:t xml:space="preserve"> bliver herefter stk. </w:t>
      </w:r>
      <w:r w:rsidR="00F329BB">
        <w:rPr>
          <w:lang w:val="da-DK"/>
        </w:rPr>
        <w:t>5.</w:t>
      </w:r>
    </w:p>
    <w:p w:rsidR="00DE30E0" w:rsidRPr="00DE30E0" w:rsidRDefault="005D5CC5" w:rsidP="00DE30E0">
      <w:pPr>
        <w:rPr>
          <w:b/>
          <w:iCs/>
          <w:lang w:val="da-DK"/>
        </w:rPr>
      </w:pPr>
      <w:r w:rsidRPr="006F31AB" w:rsidDel="005D5CC5">
        <w:rPr>
          <w:lang w:val="da-DK"/>
        </w:rPr>
        <w:t xml:space="preserve"> </w:t>
      </w:r>
      <w:r w:rsidR="00DE30E0" w:rsidRPr="00DE30E0">
        <w:rPr>
          <w:i/>
          <w:iCs/>
          <w:sz w:val="28"/>
          <w:lang w:val="da-DK"/>
        </w:rPr>
        <w:tab/>
      </w:r>
      <w:r w:rsidR="00DE30E0" w:rsidRPr="00DE30E0">
        <w:rPr>
          <w:i/>
          <w:iCs/>
          <w:sz w:val="28"/>
          <w:lang w:val="da-DK"/>
        </w:rPr>
        <w:tab/>
      </w:r>
      <w:r w:rsidR="00DE30E0" w:rsidRPr="00DE30E0">
        <w:rPr>
          <w:i/>
          <w:iCs/>
          <w:sz w:val="28"/>
          <w:lang w:val="da-DK"/>
        </w:rPr>
        <w:tab/>
      </w:r>
      <w:r w:rsidR="00DE30E0" w:rsidRPr="00DE30E0">
        <w:rPr>
          <w:i/>
          <w:iCs/>
          <w:sz w:val="28"/>
          <w:lang w:val="da-DK"/>
        </w:rPr>
        <w:tab/>
      </w:r>
      <w:r w:rsidR="00DE30E0" w:rsidRPr="00DE30E0">
        <w:rPr>
          <w:i/>
          <w:iCs/>
          <w:sz w:val="28"/>
          <w:lang w:val="da-DK"/>
        </w:rPr>
        <w:tab/>
      </w:r>
      <w:r w:rsidR="00DE30E0" w:rsidRPr="00DE30E0">
        <w:rPr>
          <w:i/>
          <w:iCs/>
          <w:sz w:val="28"/>
          <w:lang w:val="da-DK"/>
        </w:rPr>
        <w:tab/>
      </w:r>
      <w:r w:rsidR="00DE30E0" w:rsidRPr="00DE30E0">
        <w:rPr>
          <w:b/>
          <w:iCs/>
          <w:lang w:val="da-DK"/>
        </w:rPr>
        <w:t>§ 3</w:t>
      </w:r>
    </w:p>
    <w:p w:rsidR="00DE30E0" w:rsidRPr="00DE30E0" w:rsidRDefault="00DE30E0" w:rsidP="00DE30E0">
      <w:pPr>
        <w:rPr>
          <w:i/>
          <w:iCs/>
          <w:lang w:val="da-DK"/>
        </w:rPr>
      </w:pPr>
    </w:p>
    <w:p w:rsidR="00132EB2" w:rsidRPr="001211F4" w:rsidRDefault="00DE30E0" w:rsidP="009E724C">
      <w:pPr>
        <w:rPr>
          <w:lang w:val="da-DK"/>
        </w:rPr>
      </w:pPr>
      <w:r w:rsidRPr="00DE30E0">
        <w:rPr>
          <w:iCs/>
          <w:lang w:val="da-DK"/>
        </w:rPr>
        <w:t xml:space="preserve">Loven træder i </w:t>
      </w:r>
      <w:r w:rsidR="00890D30">
        <w:rPr>
          <w:iCs/>
          <w:lang w:val="da-DK"/>
        </w:rPr>
        <w:t xml:space="preserve">kraft </w:t>
      </w:r>
      <w:r w:rsidR="00132EB2">
        <w:rPr>
          <w:iCs/>
          <w:lang w:val="da-DK"/>
        </w:rPr>
        <w:t>d</w:t>
      </w:r>
      <w:r w:rsidR="004938FB">
        <w:rPr>
          <w:iCs/>
          <w:lang w:val="da-DK"/>
        </w:rPr>
        <w:t>agen</w:t>
      </w:r>
      <w:r w:rsidR="00132EB2">
        <w:rPr>
          <w:iCs/>
          <w:lang w:val="da-DK"/>
        </w:rPr>
        <w:t xml:space="preserve"> </w:t>
      </w:r>
      <w:r w:rsidR="00674502">
        <w:rPr>
          <w:iCs/>
          <w:lang w:val="da-DK"/>
        </w:rPr>
        <w:t>efter bekendtgørelse</w:t>
      </w:r>
      <w:r w:rsidR="00951CB1">
        <w:rPr>
          <w:iCs/>
          <w:lang w:val="da-DK"/>
        </w:rPr>
        <w:t>n</w:t>
      </w:r>
      <w:r w:rsidR="00674502">
        <w:rPr>
          <w:iCs/>
          <w:lang w:val="da-DK"/>
        </w:rPr>
        <w:t xml:space="preserve"> i Lovtidende</w:t>
      </w:r>
      <w:r w:rsidR="00F01661">
        <w:rPr>
          <w:iCs/>
          <w:lang w:val="da-DK"/>
        </w:rPr>
        <w:t>.</w:t>
      </w:r>
      <w:r w:rsidR="00132EB2" w:rsidRPr="001211F4">
        <w:rPr>
          <w:lang w:val="da-DK"/>
        </w:rPr>
        <w:t xml:space="preserve"> </w:t>
      </w:r>
    </w:p>
    <w:p w:rsidR="00DE30E0" w:rsidRPr="00DE30E0" w:rsidRDefault="00DE30E0" w:rsidP="00DE30E0">
      <w:pPr>
        <w:rPr>
          <w:iCs/>
          <w:lang w:val="da-DK"/>
        </w:rPr>
      </w:pPr>
    </w:p>
    <w:p w:rsidR="00DE30E0" w:rsidRPr="00DE30E0" w:rsidRDefault="00DE30E0" w:rsidP="00DE30E0">
      <w:pPr>
        <w:jc w:val="center"/>
        <w:rPr>
          <w:i/>
          <w:iCs/>
          <w:sz w:val="28"/>
          <w:lang w:val="da-DK"/>
        </w:rPr>
      </w:pPr>
    </w:p>
    <w:p w:rsidR="00DE30E0" w:rsidRDefault="00DE30E0"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Default="00F27802" w:rsidP="00DE30E0">
      <w:pPr>
        <w:jc w:val="center"/>
        <w:rPr>
          <w:i/>
          <w:iCs/>
          <w:sz w:val="28"/>
          <w:lang w:val="da-DK"/>
        </w:rPr>
      </w:pPr>
    </w:p>
    <w:p w:rsidR="00F27802" w:rsidRPr="00DE30E0" w:rsidRDefault="00F27802" w:rsidP="00DE30E0">
      <w:pPr>
        <w:jc w:val="center"/>
        <w:rPr>
          <w:i/>
          <w:iCs/>
          <w:sz w:val="28"/>
          <w:lang w:val="da-DK"/>
        </w:rPr>
      </w:pPr>
    </w:p>
    <w:p w:rsidR="00DE30E0" w:rsidRDefault="00DE30E0" w:rsidP="00DE30E0">
      <w:pPr>
        <w:jc w:val="center"/>
        <w:rPr>
          <w:i/>
          <w:iCs/>
          <w:sz w:val="28"/>
          <w:lang w:val="da-DK"/>
        </w:rPr>
      </w:pPr>
    </w:p>
    <w:p w:rsidR="0050796D" w:rsidRDefault="0050796D" w:rsidP="00DE30E0">
      <w:pPr>
        <w:jc w:val="center"/>
        <w:rPr>
          <w:i/>
          <w:iCs/>
          <w:sz w:val="28"/>
          <w:lang w:val="da-DK"/>
        </w:rPr>
      </w:pPr>
    </w:p>
    <w:p w:rsidR="00DE30E0" w:rsidRPr="00DE30E0" w:rsidRDefault="00DE30E0" w:rsidP="00F025A2">
      <w:pPr>
        <w:jc w:val="center"/>
        <w:rPr>
          <w:i/>
          <w:iCs/>
          <w:sz w:val="28"/>
          <w:lang w:val="da-DK"/>
        </w:rPr>
      </w:pPr>
      <w:r w:rsidRPr="00DE30E0">
        <w:rPr>
          <w:i/>
          <w:iCs/>
          <w:sz w:val="28"/>
          <w:lang w:val="da-DK"/>
        </w:rPr>
        <w:lastRenderedPageBreak/>
        <w:t>Bemærkninger til lovforslaget</w:t>
      </w:r>
    </w:p>
    <w:p w:rsidR="00CD6DE5" w:rsidRDefault="00CD6DE5" w:rsidP="000268DF">
      <w:pPr>
        <w:pStyle w:val="Overskrift2"/>
        <w:spacing w:line="240" w:lineRule="auto"/>
        <w:jc w:val="center"/>
        <w:rPr>
          <w:rFonts w:ascii="Times New Roman" w:hAnsi="Times New Roman" w:cs="Times New Roman"/>
          <w:i/>
          <w:sz w:val="24"/>
        </w:rPr>
      </w:pPr>
    </w:p>
    <w:p w:rsidR="000268DF" w:rsidRDefault="000268DF" w:rsidP="000268DF">
      <w:pPr>
        <w:pStyle w:val="Overskrift2"/>
        <w:spacing w:line="240" w:lineRule="auto"/>
        <w:jc w:val="center"/>
        <w:rPr>
          <w:rFonts w:ascii="Times New Roman" w:hAnsi="Times New Roman" w:cs="Times New Roman"/>
          <w:i/>
          <w:sz w:val="24"/>
        </w:rPr>
      </w:pPr>
      <w:r>
        <w:rPr>
          <w:rFonts w:ascii="Times New Roman" w:hAnsi="Times New Roman" w:cs="Times New Roman"/>
          <w:i/>
          <w:sz w:val="24"/>
        </w:rPr>
        <w:t>Almindelige bemærkninger</w:t>
      </w:r>
      <w:bookmarkEnd w:id="1"/>
      <w:bookmarkEnd w:id="2"/>
      <w:bookmarkEnd w:id="3"/>
    </w:p>
    <w:p w:rsidR="000268DF" w:rsidRPr="000268DF" w:rsidRDefault="000268DF" w:rsidP="000268DF">
      <w:pPr>
        <w:jc w:val="center"/>
        <w:rPr>
          <w:i/>
          <w:iCs/>
          <w:lang w:val="da-DK"/>
        </w:rPr>
      </w:pPr>
    </w:p>
    <w:p w:rsidR="009E724C" w:rsidRDefault="000268DF" w:rsidP="000268DF">
      <w:pPr>
        <w:rPr>
          <w:lang w:val="da-DK"/>
        </w:rPr>
      </w:pPr>
      <w:r w:rsidRPr="000268DF">
        <w:rPr>
          <w:i/>
          <w:iCs/>
          <w:lang w:val="da-DK"/>
        </w:rPr>
        <w:t>1. Indledning</w:t>
      </w:r>
    </w:p>
    <w:p w:rsidR="00945CC8" w:rsidRDefault="00945CC8" w:rsidP="000268DF">
      <w:pPr>
        <w:rPr>
          <w:iCs/>
          <w:lang w:val="da-DK"/>
        </w:rPr>
      </w:pPr>
      <w:r>
        <w:rPr>
          <w:lang w:val="da-DK"/>
        </w:rPr>
        <w:t>De</w:t>
      </w:r>
      <w:r w:rsidR="00AC6EC3">
        <w:rPr>
          <w:lang w:val="da-DK"/>
        </w:rPr>
        <w:t xml:space="preserve">t foreslås at </w:t>
      </w:r>
      <w:r w:rsidR="00D02B0F">
        <w:rPr>
          <w:lang w:val="da-DK"/>
        </w:rPr>
        <w:t>lovfæste</w:t>
      </w:r>
      <w:r w:rsidR="00E22D21">
        <w:rPr>
          <w:lang w:val="da-DK"/>
        </w:rPr>
        <w:t xml:space="preserve"> den</w:t>
      </w:r>
      <w:r w:rsidR="007628FC">
        <w:rPr>
          <w:lang w:val="da-DK"/>
        </w:rPr>
        <w:t xml:space="preserve"> allerede </w:t>
      </w:r>
      <w:r w:rsidR="00E22D21">
        <w:rPr>
          <w:lang w:val="da-DK"/>
        </w:rPr>
        <w:t xml:space="preserve">ændrede </w:t>
      </w:r>
      <w:r w:rsidR="00E22D21">
        <w:rPr>
          <w:iCs/>
          <w:lang w:val="da-DK"/>
        </w:rPr>
        <w:t>administration af</w:t>
      </w:r>
      <w:r w:rsidR="00E22D21" w:rsidRPr="00E22D21">
        <w:rPr>
          <w:iCs/>
          <w:lang w:val="da-DK"/>
        </w:rPr>
        <w:t xml:space="preserve"> optjeningsprincippet</w:t>
      </w:r>
      <w:r w:rsidR="00DE47F9">
        <w:rPr>
          <w:iCs/>
          <w:lang w:val="da-DK"/>
        </w:rPr>
        <w:t>, hvorefter</w:t>
      </w:r>
      <w:r w:rsidR="00E22D21" w:rsidRPr="00E22D21">
        <w:rPr>
          <w:iCs/>
          <w:lang w:val="da-DK"/>
        </w:rPr>
        <w:t xml:space="preserve"> sammenlægningsprincippet</w:t>
      </w:r>
      <w:r w:rsidR="00E22D21">
        <w:rPr>
          <w:iCs/>
          <w:lang w:val="da-DK"/>
        </w:rPr>
        <w:t xml:space="preserve"> </w:t>
      </w:r>
      <w:r w:rsidR="00204CDF">
        <w:rPr>
          <w:lang w:val="da-DK"/>
        </w:rPr>
        <w:t xml:space="preserve">for </w:t>
      </w:r>
      <w:r w:rsidR="005D5CC5">
        <w:rPr>
          <w:lang w:val="da-DK"/>
        </w:rPr>
        <w:t xml:space="preserve">personer </w:t>
      </w:r>
      <w:r w:rsidR="00204CDF">
        <w:rPr>
          <w:lang w:val="da-DK"/>
        </w:rPr>
        <w:t xml:space="preserve">omfattet af </w:t>
      </w:r>
      <w:r w:rsidR="006A4C70" w:rsidRPr="00575509">
        <w:rPr>
          <w:iCs/>
          <w:lang w:val="da-DK"/>
        </w:rPr>
        <w:t>Europa-Parlamentet og Rådets forordning (EF) nr. 883/04 af 29. april 2004 om koordinering af de sociale sikringsordninger (herefter forordning nr. 883/04)</w:t>
      </w:r>
      <w:r w:rsidR="00DE47F9">
        <w:rPr>
          <w:iCs/>
          <w:lang w:val="da-DK"/>
        </w:rPr>
        <w:t xml:space="preserve"> anvendes</w:t>
      </w:r>
      <w:r w:rsidR="006A4C70" w:rsidRPr="00575509">
        <w:rPr>
          <w:iCs/>
          <w:lang w:val="da-DK"/>
        </w:rPr>
        <w:t>.</w:t>
      </w:r>
      <w:r w:rsidR="006A4C70">
        <w:rPr>
          <w:iCs/>
          <w:lang w:val="da-DK"/>
        </w:rPr>
        <w:t xml:space="preserve"> </w:t>
      </w:r>
    </w:p>
    <w:p w:rsidR="00AC2CA7" w:rsidRDefault="00AC2CA7" w:rsidP="000268DF">
      <w:pPr>
        <w:rPr>
          <w:iCs/>
          <w:lang w:val="da-DK"/>
        </w:rPr>
      </w:pPr>
    </w:p>
    <w:p w:rsidR="00AC2CA7" w:rsidRDefault="00AC2CA7" w:rsidP="000268DF">
      <w:pPr>
        <w:rPr>
          <w:iCs/>
          <w:lang w:val="da-DK"/>
        </w:rPr>
      </w:pPr>
      <w:r>
        <w:rPr>
          <w:iCs/>
          <w:lang w:val="da-DK"/>
        </w:rPr>
        <w:t>R</w:t>
      </w:r>
      <w:r w:rsidRPr="00AC2CA7">
        <w:rPr>
          <w:iCs/>
          <w:lang w:val="da-DK"/>
        </w:rPr>
        <w:t>egeringen har</w:t>
      </w:r>
      <w:r w:rsidR="00B94749">
        <w:rPr>
          <w:iCs/>
          <w:lang w:val="da-DK"/>
        </w:rPr>
        <w:t xml:space="preserve"> </w:t>
      </w:r>
      <w:r w:rsidR="006511D3">
        <w:rPr>
          <w:iCs/>
          <w:lang w:val="da-DK"/>
        </w:rPr>
        <w:t xml:space="preserve">efter en grundig juridisk vurdering </w:t>
      </w:r>
      <w:r w:rsidR="00B94749">
        <w:rPr>
          <w:iCs/>
          <w:lang w:val="da-DK"/>
        </w:rPr>
        <w:t>måttet</w:t>
      </w:r>
      <w:r w:rsidRPr="00AC2CA7">
        <w:rPr>
          <w:iCs/>
          <w:lang w:val="da-DK"/>
        </w:rPr>
        <w:t xml:space="preserve"> konkludere, at Danmark ikke kan opretholde den </w:t>
      </w:r>
      <w:r w:rsidR="00DE47F9">
        <w:rPr>
          <w:iCs/>
          <w:lang w:val="da-DK"/>
        </w:rPr>
        <w:t>tidligere</w:t>
      </w:r>
      <w:r w:rsidRPr="00AC2CA7">
        <w:rPr>
          <w:iCs/>
          <w:lang w:val="da-DK"/>
        </w:rPr>
        <w:t xml:space="preserve"> administration af optjeningsprincip</w:t>
      </w:r>
      <w:r>
        <w:rPr>
          <w:iCs/>
          <w:lang w:val="da-DK"/>
        </w:rPr>
        <w:t>pet</w:t>
      </w:r>
      <w:r w:rsidRPr="00AC2CA7">
        <w:rPr>
          <w:iCs/>
          <w:lang w:val="da-DK"/>
        </w:rPr>
        <w:t xml:space="preserve"> for børne- og ungeydelsen og ydelser efter lov om børnetilskud og forskudsvis udbetaling af børnebidrag (børnetilskudsloven). Dette er sket i forlængelse af, at Kommissionen </w:t>
      </w:r>
      <w:r w:rsidR="005F4849">
        <w:rPr>
          <w:iCs/>
          <w:lang w:val="da-DK"/>
        </w:rPr>
        <w:t xml:space="preserve">ligeledes </w:t>
      </w:r>
      <w:r w:rsidRPr="00AC2CA7">
        <w:rPr>
          <w:iCs/>
          <w:lang w:val="da-DK"/>
        </w:rPr>
        <w:t xml:space="preserve">har vurderet, at den </w:t>
      </w:r>
      <w:r w:rsidR="00DE47F9">
        <w:rPr>
          <w:iCs/>
          <w:lang w:val="da-DK"/>
        </w:rPr>
        <w:t>tidligere</w:t>
      </w:r>
      <w:r w:rsidR="00DE47F9" w:rsidRPr="00AC2CA7">
        <w:rPr>
          <w:iCs/>
          <w:lang w:val="da-DK"/>
        </w:rPr>
        <w:t xml:space="preserve"> </w:t>
      </w:r>
      <w:r w:rsidRPr="00AC2CA7">
        <w:rPr>
          <w:iCs/>
          <w:lang w:val="da-DK"/>
        </w:rPr>
        <w:t>administration er i strid med Danmarks EU-retlige forpligtelser.</w:t>
      </w:r>
      <w:r w:rsidR="00B94749">
        <w:rPr>
          <w:iCs/>
          <w:lang w:val="da-DK"/>
        </w:rPr>
        <w:t xml:space="preserve"> Danmark har herefter en forpligtelse til at sikre, at den danske lovgivning er i overensstemmelse med EU-retten.</w:t>
      </w:r>
    </w:p>
    <w:p w:rsidR="00910C6A" w:rsidRPr="000268DF" w:rsidRDefault="00910C6A" w:rsidP="000268DF">
      <w:pPr>
        <w:rPr>
          <w:lang w:val="da-DK"/>
        </w:rPr>
      </w:pPr>
    </w:p>
    <w:p w:rsidR="000268DF" w:rsidRPr="000268DF" w:rsidRDefault="000268DF" w:rsidP="000268DF">
      <w:pPr>
        <w:rPr>
          <w:i/>
          <w:iCs/>
          <w:lang w:val="da-DK"/>
        </w:rPr>
      </w:pPr>
      <w:r w:rsidRPr="000268DF">
        <w:rPr>
          <w:i/>
          <w:iCs/>
          <w:lang w:val="da-DK"/>
        </w:rPr>
        <w:t xml:space="preserve">2. Lovforslagets formål og baggrund </w:t>
      </w:r>
    </w:p>
    <w:p w:rsidR="00CF6AFF" w:rsidRDefault="00575509" w:rsidP="009E724C">
      <w:pPr>
        <w:rPr>
          <w:iCs/>
          <w:lang w:val="da-DK"/>
        </w:rPr>
      </w:pPr>
      <w:r w:rsidRPr="00575509">
        <w:rPr>
          <w:iCs/>
          <w:lang w:val="da-DK"/>
        </w:rPr>
        <w:t xml:space="preserve">De danske regler om optjeningsprincippet blev </w:t>
      </w:r>
      <w:r w:rsidR="009E724C">
        <w:rPr>
          <w:iCs/>
          <w:lang w:val="da-DK"/>
        </w:rPr>
        <w:t>indført ved lov nr</w:t>
      </w:r>
      <w:r w:rsidR="00355BEC">
        <w:rPr>
          <w:iCs/>
          <w:lang w:val="da-DK"/>
        </w:rPr>
        <w:t>. 1609 af 22. december 2010</w:t>
      </w:r>
      <w:r w:rsidR="009E724C">
        <w:rPr>
          <w:iCs/>
          <w:lang w:val="da-DK"/>
        </w:rPr>
        <w:t xml:space="preserve"> </w:t>
      </w:r>
      <w:r w:rsidRPr="00575509">
        <w:rPr>
          <w:iCs/>
          <w:lang w:val="da-DK"/>
        </w:rPr>
        <w:t xml:space="preserve">og </w:t>
      </w:r>
      <w:r w:rsidR="009A59AD">
        <w:rPr>
          <w:iCs/>
          <w:lang w:val="da-DK"/>
        </w:rPr>
        <w:t xml:space="preserve">fik virkning </w:t>
      </w:r>
      <w:r w:rsidR="009E724C">
        <w:rPr>
          <w:iCs/>
          <w:lang w:val="da-DK"/>
        </w:rPr>
        <w:t xml:space="preserve">den 1. januar 2012. Denne lov </w:t>
      </w:r>
      <w:r w:rsidRPr="00575509">
        <w:rPr>
          <w:iCs/>
          <w:lang w:val="da-DK"/>
        </w:rPr>
        <w:t>omfatter alle borgere uanset nationalitet</w:t>
      </w:r>
      <w:r w:rsidR="00CF6AFF">
        <w:rPr>
          <w:iCs/>
          <w:lang w:val="da-DK"/>
        </w:rPr>
        <w:t xml:space="preserve">. Det vil sige, at reglerne </w:t>
      </w:r>
      <w:r w:rsidR="00E20C97">
        <w:rPr>
          <w:iCs/>
          <w:lang w:val="da-DK"/>
        </w:rPr>
        <w:t xml:space="preserve">blev udformet således, at de også skulle </w:t>
      </w:r>
      <w:r w:rsidR="00CF6AFF">
        <w:rPr>
          <w:iCs/>
          <w:lang w:val="da-DK"/>
        </w:rPr>
        <w:t>gælde for personer</w:t>
      </w:r>
      <w:r w:rsidR="006A4C70">
        <w:rPr>
          <w:iCs/>
          <w:lang w:val="da-DK"/>
        </w:rPr>
        <w:t xml:space="preserve"> omfattet af </w:t>
      </w:r>
      <w:r w:rsidR="00CF6AFF">
        <w:rPr>
          <w:iCs/>
          <w:lang w:val="da-DK"/>
        </w:rPr>
        <w:t>forordning nr</w:t>
      </w:r>
      <w:r w:rsidR="00B14953">
        <w:rPr>
          <w:iCs/>
          <w:lang w:val="da-DK"/>
        </w:rPr>
        <w:t>.</w:t>
      </w:r>
      <w:r w:rsidR="00CF6AFF">
        <w:rPr>
          <w:iCs/>
          <w:lang w:val="da-DK"/>
        </w:rPr>
        <w:t xml:space="preserve"> 883/04</w:t>
      </w:r>
      <w:r w:rsidR="009E724C">
        <w:rPr>
          <w:iCs/>
          <w:lang w:val="da-DK"/>
        </w:rPr>
        <w:t>.</w:t>
      </w:r>
      <w:r w:rsidR="00CF6AFF">
        <w:rPr>
          <w:iCs/>
          <w:lang w:val="da-DK"/>
        </w:rPr>
        <w:t xml:space="preserve"> </w:t>
      </w:r>
    </w:p>
    <w:p w:rsidR="00197702" w:rsidRDefault="00197702" w:rsidP="009E724C">
      <w:pPr>
        <w:rPr>
          <w:iCs/>
          <w:lang w:val="da-DK"/>
        </w:rPr>
      </w:pPr>
    </w:p>
    <w:p w:rsidR="00575509" w:rsidRDefault="00575509" w:rsidP="00575509">
      <w:pPr>
        <w:rPr>
          <w:iCs/>
          <w:lang w:val="da-DK"/>
        </w:rPr>
      </w:pPr>
      <w:r w:rsidRPr="00575509">
        <w:rPr>
          <w:iCs/>
          <w:lang w:val="da-DK"/>
        </w:rPr>
        <w:t xml:space="preserve">Optjeningsprincippet betyder, at </w:t>
      </w:r>
      <w:r w:rsidR="00E404EF">
        <w:rPr>
          <w:iCs/>
          <w:lang w:val="da-DK"/>
        </w:rPr>
        <w:t>en person</w:t>
      </w:r>
      <w:r w:rsidR="00204CDF">
        <w:rPr>
          <w:iCs/>
          <w:lang w:val="da-DK"/>
        </w:rPr>
        <w:t xml:space="preserve"> </w:t>
      </w:r>
      <w:r w:rsidR="00E404EF">
        <w:rPr>
          <w:iCs/>
          <w:lang w:val="da-DK"/>
        </w:rPr>
        <w:t>skal have en vis</w:t>
      </w:r>
      <w:r w:rsidRPr="00575509">
        <w:rPr>
          <w:iCs/>
          <w:lang w:val="da-DK"/>
        </w:rPr>
        <w:t xml:space="preserve"> beskæftigelses- eller bopælsperiode</w:t>
      </w:r>
      <w:r w:rsidR="00433F67">
        <w:rPr>
          <w:iCs/>
          <w:lang w:val="da-DK"/>
        </w:rPr>
        <w:t xml:space="preserve"> her</w:t>
      </w:r>
      <w:r w:rsidRPr="00575509">
        <w:rPr>
          <w:iCs/>
          <w:lang w:val="da-DK"/>
        </w:rPr>
        <w:t xml:space="preserve"> i</w:t>
      </w:r>
      <w:r w:rsidR="00980000">
        <w:rPr>
          <w:iCs/>
          <w:lang w:val="da-DK"/>
        </w:rPr>
        <w:t xml:space="preserve"> rige</w:t>
      </w:r>
      <w:r w:rsidR="00433F67">
        <w:rPr>
          <w:iCs/>
          <w:lang w:val="da-DK"/>
        </w:rPr>
        <w:t>t</w:t>
      </w:r>
      <w:r w:rsidRPr="00575509">
        <w:rPr>
          <w:iCs/>
          <w:lang w:val="da-DK"/>
        </w:rPr>
        <w:t xml:space="preserve"> for at kunne modtage den fulde børne- og ungeydelse og </w:t>
      </w:r>
      <w:r w:rsidR="0094396F">
        <w:rPr>
          <w:iCs/>
          <w:lang w:val="da-DK"/>
        </w:rPr>
        <w:t xml:space="preserve">ydelser efter </w:t>
      </w:r>
      <w:r w:rsidRPr="00575509">
        <w:rPr>
          <w:iCs/>
          <w:lang w:val="da-DK"/>
        </w:rPr>
        <w:t>børnetilskud</w:t>
      </w:r>
      <w:r w:rsidR="006920D0">
        <w:rPr>
          <w:iCs/>
          <w:lang w:val="da-DK"/>
        </w:rPr>
        <w:t>sloven</w:t>
      </w:r>
      <w:r w:rsidRPr="00575509">
        <w:rPr>
          <w:iCs/>
          <w:lang w:val="da-DK"/>
        </w:rPr>
        <w:t>.</w:t>
      </w:r>
    </w:p>
    <w:p w:rsidR="00575509" w:rsidRDefault="00575509" w:rsidP="00575509">
      <w:pPr>
        <w:rPr>
          <w:iCs/>
          <w:lang w:val="da-DK"/>
        </w:rPr>
      </w:pPr>
    </w:p>
    <w:p w:rsidR="004E1AE7" w:rsidRDefault="00AA4130" w:rsidP="004E1AE7">
      <w:pPr>
        <w:rPr>
          <w:iCs/>
          <w:lang w:val="da-DK"/>
        </w:rPr>
      </w:pPr>
      <w:r>
        <w:rPr>
          <w:iCs/>
          <w:lang w:val="da-DK"/>
        </w:rPr>
        <w:t xml:space="preserve">I forlængelse </w:t>
      </w:r>
      <w:r w:rsidR="00575509" w:rsidRPr="00575509">
        <w:rPr>
          <w:iCs/>
          <w:lang w:val="da-DK"/>
        </w:rPr>
        <w:t>af en henvendelse fra Kommissionen</w:t>
      </w:r>
      <w:r w:rsidR="00B94749">
        <w:rPr>
          <w:iCs/>
          <w:lang w:val="da-DK"/>
        </w:rPr>
        <w:t xml:space="preserve"> måtte</w:t>
      </w:r>
      <w:r w:rsidR="00980000">
        <w:rPr>
          <w:iCs/>
          <w:lang w:val="da-DK"/>
        </w:rPr>
        <w:t xml:space="preserve"> </w:t>
      </w:r>
      <w:r w:rsidR="007203BD">
        <w:rPr>
          <w:iCs/>
          <w:lang w:val="da-DK"/>
        </w:rPr>
        <w:t>regeringen</w:t>
      </w:r>
      <w:r w:rsidR="00B94749">
        <w:rPr>
          <w:iCs/>
          <w:lang w:val="da-DK"/>
        </w:rPr>
        <w:t xml:space="preserve"> konkludere</w:t>
      </w:r>
      <w:r w:rsidR="007203BD">
        <w:rPr>
          <w:iCs/>
          <w:lang w:val="da-DK"/>
        </w:rPr>
        <w:t>,</w:t>
      </w:r>
      <w:r w:rsidR="00575509" w:rsidRPr="00575509">
        <w:rPr>
          <w:iCs/>
          <w:lang w:val="da-DK"/>
        </w:rPr>
        <w:t xml:space="preserve"> at </w:t>
      </w:r>
      <w:r>
        <w:rPr>
          <w:iCs/>
          <w:lang w:val="da-DK"/>
        </w:rPr>
        <w:t xml:space="preserve">det ikke var juridisk korrekt, at </w:t>
      </w:r>
      <w:r w:rsidR="00433F67">
        <w:rPr>
          <w:iCs/>
          <w:lang w:val="da-DK"/>
        </w:rPr>
        <w:t>man fra dansk side</w:t>
      </w:r>
      <w:r w:rsidR="00575509" w:rsidRPr="00575509">
        <w:rPr>
          <w:iCs/>
          <w:lang w:val="da-DK"/>
        </w:rPr>
        <w:t xml:space="preserve"> </w:t>
      </w:r>
      <w:r>
        <w:rPr>
          <w:iCs/>
          <w:lang w:val="da-DK"/>
        </w:rPr>
        <w:t>stillede</w:t>
      </w:r>
      <w:r w:rsidR="00575509" w:rsidRPr="00575509">
        <w:rPr>
          <w:iCs/>
          <w:lang w:val="da-DK"/>
        </w:rPr>
        <w:t xml:space="preserve"> krav om en vis beskæftigelses- eller bopælsperiode</w:t>
      </w:r>
      <w:r w:rsidR="00433F67">
        <w:rPr>
          <w:iCs/>
          <w:lang w:val="da-DK"/>
        </w:rPr>
        <w:t xml:space="preserve"> alene her</w:t>
      </w:r>
      <w:r w:rsidR="00575509" w:rsidRPr="00575509">
        <w:rPr>
          <w:iCs/>
          <w:lang w:val="da-DK"/>
        </w:rPr>
        <w:t xml:space="preserve"> i </w:t>
      </w:r>
      <w:r w:rsidR="00433F67">
        <w:rPr>
          <w:iCs/>
          <w:lang w:val="da-DK"/>
        </w:rPr>
        <w:t>riget</w:t>
      </w:r>
      <w:r w:rsidR="00575509" w:rsidRPr="00575509">
        <w:rPr>
          <w:iCs/>
          <w:lang w:val="da-DK"/>
        </w:rPr>
        <w:t xml:space="preserve"> for </w:t>
      </w:r>
      <w:r w:rsidR="00B93B7E">
        <w:rPr>
          <w:iCs/>
          <w:lang w:val="da-DK"/>
        </w:rPr>
        <w:t>personer omfattet af foror</w:t>
      </w:r>
      <w:r w:rsidR="00CF6AFF">
        <w:rPr>
          <w:iCs/>
          <w:lang w:val="da-DK"/>
        </w:rPr>
        <w:t>d</w:t>
      </w:r>
      <w:r w:rsidR="00B93B7E">
        <w:rPr>
          <w:iCs/>
          <w:lang w:val="da-DK"/>
        </w:rPr>
        <w:t>ning nr. 883/04.</w:t>
      </w:r>
      <w:r w:rsidR="00B93B7E" w:rsidRPr="00575509" w:rsidDel="00B93B7E">
        <w:rPr>
          <w:iCs/>
          <w:lang w:val="da-DK"/>
        </w:rPr>
        <w:t xml:space="preserve"> </w:t>
      </w:r>
      <w:r w:rsidR="00B93B7E">
        <w:rPr>
          <w:iCs/>
          <w:lang w:val="da-DK"/>
        </w:rPr>
        <w:t>Beskæftigelses- eller bopælsp</w:t>
      </w:r>
      <w:r w:rsidR="00575509" w:rsidRPr="00575509">
        <w:rPr>
          <w:iCs/>
          <w:lang w:val="da-DK"/>
        </w:rPr>
        <w:t xml:space="preserve">erioder i andre EU/EØS-lande </w:t>
      </w:r>
      <w:r w:rsidR="00DA34B3">
        <w:rPr>
          <w:iCs/>
          <w:lang w:val="da-DK"/>
        </w:rPr>
        <w:t xml:space="preserve">og Schweiz </w:t>
      </w:r>
      <w:r w:rsidR="00575509" w:rsidRPr="00575509">
        <w:rPr>
          <w:iCs/>
          <w:lang w:val="da-DK"/>
        </w:rPr>
        <w:t>skal således</w:t>
      </w:r>
      <w:r w:rsidR="00B93B7E">
        <w:rPr>
          <w:iCs/>
          <w:lang w:val="da-DK"/>
        </w:rPr>
        <w:t xml:space="preserve"> </w:t>
      </w:r>
      <w:r w:rsidR="00575509" w:rsidRPr="00575509">
        <w:rPr>
          <w:iCs/>
          <w:lang w:val="da-DK"/>
        </w:rPr>
        <w:t>med</w:t>
      </w:r>
      <w:r w:rsidR="00E404EF">
        <w:rPr>
          <w:iCs/>
          <w:lang w:val="da-DK"/>
        </w:rPr>
        <w:t>regnes</w:t>
      </w:r>
      <w:r w:rsidR="00910C6A">
        <w:rPr>
          <w:iCs/>
          <w:lang w:val="da-DK"/>
        </w:rPr>
        <w:t xml:space="preserve"> for personer omfattet af forordning nr. 883/04</w:t>
      </w:r>
      <w:r w:rsidR="00575509" w:rsidRPr="00575509">
        <w:rPr>
          <w:iCs/>
          <w:lang w:val="da-DK"/>
        </w:rPr>
        <w:t>, når optjeningsprincippet skal opfyldes</w:t>
      </w:r>
      <w:r w:rsidR="00575509">
        <w:rPr>
          <w:iCs/>
          <w:lang w:val="da-DK"/>
        </w:rPr>
        <w:t xml:space="preserve"> (sammenlægningsprincippet)</w:t>
      </w:r>
      <w:r w:rsidR="00575509" w:rsidRPr="00575509">
        <w:rPr>
          <w:iCs/>
          <w:lang w:val="da-DK"/>
        </w:rPr>
        <w:t>.</w:t>
      </w:r>
      <w:r w:rsidR="00A839DA">
        <w:rPr>
          <w:iCs/>
          <w:lang w:val="da-DK"/>
        </w:rPr>
        <w:t xml:space="preserve"> </w:t>
      </w:r>
      <w:r w:rsidR="004E1AE7" w:rsidRPr="004E1AE7">
        <w:rPr>
          <w:iCs/>
          <w:lang w:val="da-DK"/>
        </w:rPr>
        <w:t xml:space="preserve">Regeringen har ved </w:t>
      </w:r>
      <w:r w:rsidR="004E1AE7">
        <w:rPr>
          <w:iCs/>
          <w:lang w:val="da-DK"/>
        </w:rPr>
        <w:t xml:space="preserve">sin juridiske </w:t>
      </w:r>
      <w:r w:rsidR="004E1AE7" w:rsidRPr="004E1AE7">
        <w:rPr>
          <w:iCs/>
          <w:lang w:val="da-DK"/>
        </w:rPr>
        <w:t>vurdering af sagen blandt andet lagt vægt på, at EU- Domstolen efter indførelsen af optjenin</w:t>
      </w:r>
      <w:r w:rsidR="004E1AE7">
        <w:rPr>
          <w:iCs/>
          <w:lang w:val="da-DK"/>
        </w:rPr>
        <w:t>gsprincippet for børne- og unge</w:t>
      </w:r>
      <w:r w:rsidR="004E1AE7" w:rsidRPr="004E1AE7">
        <w:rPr>
          <w:iCs/>
          <w:lang w:val="da-DK"/>
        </w:rPr>
        <w:t>ydelse og børnetilskud har afsagt to domme i henholdsvis 2011 og 2013 (C-257/10, Bergström og C-619/11, Chassart), der bidrager til en ny forståelse af sammenlægningsprincippets rækkevidde.</w:t>
      </w:r>
    </w:p>
    <w:p w:rsidR="004E1AE7" w:rsidRDefault="004E1AE7" w:rsidP="004E1AE7">
      <w:pPr>
        <w:rPr>
          <w:iCs/>
          <w:lang w:val="da-DK"/>
        </w:rPr>
      </w:pPr>
    </w:p>
    <w:p w:rsidR="00BB7111" w:rsidRDefault="00A839DA" w:rsidP="004E1AE7">
      <w:pPr>
        <w:rPr>
          <w:iCs/>
          <w:lang w:val="da-DK"/>
        </w:rPr>
      </w:pPr>
      <w:r>
        <w:rPr>
          <w:iCs/>
          <w:lang w:val="da-DK"/>
        </w:rPr>
        <w:t xml:space="preserve">Regeringen meddelte herefter Kommissionen, at den </w:t>
      </w:r>
      <w:r w:rsidR="00E404EF">
        <w:rPr>
          <w:iCs/>
          <w:lang w:val="da-DK"/>
        </w:rPr>
        <w:t>agtede</w:t>
      </w:r>
      <w:r w:rsidR="00B94749">
        <w:rPr>
          <w:iCs/>
          <w:lang w:val="da-DK"/>
        </w:rPr>
        <w:t xml:space="preserve"> at overholde sine EU-retlige forpligtelser og</w:t>
      </w:r>
      <w:r>
        <w:rPr>
          <w:iCs/>
          <w:lang w:val="da-DK"/>
        </w:rPr>
        <w:t xml:space="preserve"> fremsætte lovforslag med henblik på at bringe lovgivningen i overensstemmelse med EU-retten.</w:t>
      </w:r>
      <w:r w:rsidR="00BB7111" w:rsidRPr="00DD4B2D">
        <w:rPr>
          <w:lang w:val="da-DK"/>
        </w:rPr>
        <w:t xml:space="preserve"> </w:t>
      </w:r>
      <w:r w:rsidR="00BB7111" w:rsidRPr="00BB7111">
        <w:rPr>
          <w:iCs/>
          <w:lang w:val="da-DK"/>
        </w:rPr>
        <w:t>Nærværende lovforslag er en udmøntning heraf.</w:t>
      </w:r>
      <w:r>
        <w:rPr>
          <w:iCs/>
          <w:lang w:val="da-DK"/>
        </w:rPr>
        <w:t xml:space="preserve"> </w:t>
      </w:r>
    </w:p>
    <w:p w:rsidR="00BB7111" w:rsidRDefault="00BB7111" w:rsidP="00575509">
      <w:pPr>
        <w:rPr>
          <w:iCs/>
          <w:lang w:val="da-DK"/>
        </w:rPr>
      </w:pPr>
    </w:p>
    <w:p w:rsidR="00575509" w:rsidRDefault="00980000" w:rsidP="00575509">
      <w:pPr>
        <w:rPr>
          <w:iCs/>
          <w:lang w:val="da-DK"/>
        </w:rPr>
      </w:pPr>
      <w:r>
        <w:rPr>
          <w:iCs/>
          <w:lang w:val="da-DK"/>
        </w:rPr>
        <w:t xml:space="preserve">Da forordning nr. 883/04 er umiddelbart gældende i Danmark, er administrationen </w:t>
      </w:r>
      <w:r w:rsidR="00307552">
        <w:rPr>
          <w:iCs/>
          <w:lang w:val="da-DK"/>
        </w:rPr>
        <w:t xml:space="preserve">af optjeningsprincippet </w:t>
      </w:r>
      <w:r w:rsidR="00984D79">
        <w:rPr>
          <w:iCs/>
          <w:lang w:val="da-DK"/>
        </w:rPr>
        <w:t xml:space="preserve">allerede </w:t>
      </w:r>
      <w:r w:rsidR="00683F4B">
        <w:rPr>
          <w:iCs/>
          <w:lang w:val="da-DK"/>
        </w:rPr>
        <w:t>ændret, så sammenlæg</w:t>
      </w:r>
      <w:r>
        <w:rPr>
          <w:iCs/>
          <w:lang w:val="da-DK"/>
        </w:rPr>
        <w:t>nin</w:t>
      </w:r>
      <w:r w:rsidR="00683F4B">
        <w:rPr>
          <w:iCs/>
          <w:lang w:val="da-DK"/>
        </w:rPr>
        <w:t>g</w:t>
      </w:r>
      <w:r w:rsidR="00984D79">
        <w:rPr>
          <w:iCs/>
          <w:lang w:val="da-DK"/>
        </w:rPr>
        <w:t xml:space="preserve">sprincippet </w:t>
      </w:r>
      <w:r w:rsidR="00DE3E86">
        <w:rPr>
          <w:iCs/>
          <w:lang w:val="da-DK"/>
        </w:rPr>
        <w:t xml:space="preserve">i forordningen </w:t>
      </w:r>
      <w:r>
        <w:rPr>
          <w:iCs/>
          <w:lang w:val="da-DK"/>
        </w:rPr>
        <w:t>anvendes.</w:t>
      </w:r>
    </w:p>
    <w:p w:rsidR="00910C6A" w:rsidRDefault="00910C6A" w:rsidP="00E37010">
      <w:pPr>
        <w:rPr>
          <w:lang w:val="da-DK"/>
        </w:rPr>
      </w:pPr>
    </w:p>
    <w:p w:rsidR="00027F76" w:rsidRDefault="000268DF" w:rsidP="000268DF">
      <w:pPr>
        <w:rPr>
          <w:i/>
          <w:iCs/>
          <w:lang w:val="da-DK"/>
        </w:rPr>
      </w:pPr>
      <w:r w:rsidRPr="000268DF">
        <w:rPr>
          <w:i/>
          <w:iCs/>
          <w:lang w:val="da-DK"/>
        </w:rPr>
        <w:t xml:space="preserve">3. </w:t>
      </w:r>
      <w:r w:rsidR="00CA438E">
        <w:rPr>
          <w:i/>
          <w:iCs/>
          <w:lang w:val="da-DK"/>
        </w:rPr>
        <w:t>Gældende ret</w:t>
      </w:r>
    </w:p>
    <w:p w:rsidR="004204B0" w:rsidRDefault="0026511A" w:rsidP="00D43A64">
      <w:pPr>
        <w:rPr>
          <w:iCs/>
          <w:lang w:val="da-DK"/>
        </w:rPr>
      </w:pPr>
      <w:r w:rsidRPr="00EE2622">
        <w:rPr>
          <w:iCs/>
          <w:lang w:val="da-DK"/>
        </w:rPr>
        <w:t xml:space="preserve">Optjeningsprincippet for ret til børne- og ungeydelse og </w:t>
      </w:r>
      <w:r w:rsidR="006920D0">
        <w:rPr>
          <w:iCs/>
          <w:lang w:val="da-DK"/>
        </w:rPr>
        <w:t xml:space="preserve">ydelser efter </w:t>
      </w:r>
      <w:r w:rsidRPr="00EE2622">
        <w:rPr>
          <w:iCs/>
          <w:lang w:val="da-DK"/>
        </w:rPr>
        <w:t>børnetilskud</w:t>
      </w:r>
      <w:r w:rsidR="006920D0">
        <w:rPr>
          <w:iCs/>
          <w:lang w:val="da-DK"/>
        </w:rPr>
        <w:t>sloven</w:t>
      </w:r>
      <w:r w:rsidRPr="00EE2622">
        <w:rPr>
          <w:iCs/>
          <w:lang w:val="da-DK"/>
        </w:rPr>
        <w:t xml:space="preserve"> blev indført med virkning fra 1. januar 2012. Ret til den fulde ydelse er efter </w:t>
      </w:r>
      <w:r w:rsidR="00B6577E">
        <w:rPr>
          <w:iCs/>
          <w:lang w:val="da-DK"/>
        </w:rPr>
        <w:t>loven</w:t>
      </w:r>
      <w:r w:rsidRPr="00EE2622">
        <w:rPr>
          <w:iCs/>
          <w:lang w:val="da-DK"/>
        </w:rPr>
        <w:t xml:space="preserve"> betinget af, at mindst en af de personer, der har </w:t>
      </w:r>
      <w:r w:rsidR="00BF0FFE">
        <w:rPr>
          <w:iCs/>
          <w:lang w:val="da-DK"/>
        </w:rPr>
        <w:t>f</w:t>
      </w:r>
      <w:r w:rsidRPr="00EE2622">
        <w:rPr>
          <w:iCs/>
          <w:lang w:val="da-DK"/>
        </w:rPr>
        <w:t>orsørgelsespligten overfor barnet, har haft bopæl eller beskæftigelse</w:t>
      </w:r>
      <w:r w:rsidR="00433F67">
        <w:rPr>
          <w:iCs/>
          <w:lang w:val="da-DK"/>
        </w:rPr>
        <w:t xml:space="preserve"> her</w:t>
      </w:r>
      <w:r w:rsidRPr="00EE2622">
        <w:rPr>
          <w:iCs/>
          <w:lang w:val="da-DK"/>
        </w:rPr>
        <w:t xml:space="preserve"> i </w:t>
      </w:r>
      <w:r w:rsidR="00815D67">
        <w:rPr>
          <w:iCs/>
          <w:lang w:val="da-DK"/>
        </w:rPr>
        <w:t>rige</w:t>
      </w:r>
      <w:r w:rsidR="007E3FF7">
        <w:rPr>
          <w:iCs/>
          <w:lang w:val="da-DK"/>
        </w:rPr>
        <w:t>t</w:t>
      </w:r>
      <w:r w:rsidRPr="00EE2622">
        <w:rPr>
          <w:iCs/>
          <w:lang w:val="da-DK"/>
        </w:rPr>
        <w:t xml:space="preserve"> i mindst 2 år </w:t>
      </w:r>
      <w:r w:rsidR="0052292B">
        <w:rPr>
          <w:iCs/>
          <w:lang w:val="da-DK"/>
        </w:rPr>
        <w:t xml:space="preserve">inden for de seneste 10 år </w:t>
      </w:r>
      <w:r w:rsidRPr="00EE2622">
        <w:rPr>
          <w:iCs/>
          <w:lang w:val="da-DK"/>
        </w:rPr>
        <w:t>forud for den periode, udbetalingen vedrører. Retten til fuld ydelse optjenes gradvist, så</w:t>
      </w:r>
      <w:r w:rsidR="00355BEC">
        <w:rPr>
          <w:iCs/>
          <w:lang w:val="da-DK"/>
        </w:rPr>
        <w:t>ledes at</w:t>
      </w:r>
      <w:r w:rsidRPr="00EE2622">
        <w:rPr>
          <w:iCs/>
          <w:lang w:val="da-DK"/>
        </w:rPr>
        <w:t xml:space="preserve"> der efter 6 måneders bopæl eller </w:t>
      </w:r>
      <w:r w:rsidR="00AE3BFB">
        <w:rPr>
          <w:iCs/>
          <w:lang w:val="da-DK"/>
        </w:rPr>
        <w:t>beskæftigelse</w:t>
      </w:r>
      <w:r w:rsidRPr="00EE2622">
        <w:rPr>
          <w:iCs/>
          <w:lang w:val="da-DK"/>
        </w:rPr>
        <w:t xml:space="preserve"> er ret til 25 pct. af ydelsen. Efter 1 år er der ret til 50 pct., efter 1½ år 75 pct., og efter 2 år 100 pct. </w:t>
      </w:r>
    </w:p>
    <w:p w:rsidR="004204B0" w:rsidRDefault="004204B0" w:rsidP="00D43A64">
      <w:pPr>
        <w:rPr>
          <w:iCs/>
          <w:lang w:val="da-DK"/>
        </w:rPr>
      </w:pPr>
    </w:p>
    <w:p w:rsidR="00C64DDA" w:rsidRDefault="0026511A" w:rsidP="00D43A64">
      <w:pPr>
        <w:rPr>
          <w:iCs/>
          <w:lang w:val="da-DK"/>
        </w:rPr>
      </w:pPr>
      <w:r w:rsidRPr="00EE2622">
        <w:rPr>
          <w:iCs/>
          <w:lang w:val="da-DK"/>
        </w:rPr>
        <w:t>Optjeningsprincippet omfatter</w:t>
      </w:r>
      <w:r w:rsidR="00027F76">
        <w:rPr>
          <w:iCs/>
          <w:lang w:val="da-DK"/>
        </w:rPr>
        <w:t xml:space="preserve"> </w:t>
      </w:r>
      <w:r w:rsidRPr="00EE2622">
        <w:rPr>
          <w:iCs/>
          <w:lang w:val="da-DK"/>
        </w:rPr>
        <w:t xml:space="preserve">modtagere af børne- og ungeydelse og </w:t>
      </w:r>
      <w:r w:rsidR="006920D0">
        <w:rPr>
          <w:iCs/>
          <w:lang w:val="da-DK"/>
        </w:rPr>
        <w:t xml:space="preserve">ydelser efter </w:t>
      </w:r>
      <w:r w:rsidRPr="00EE2622">
        <w:rPr>
          <w:iCs/>
          <w:lang w:val="da-DK"/>
        </w:rPr>
        <w:t>børnetilskud</w:t>
      </w:r>
      <w:r w:rsidR="006920D0">
        <w:rPr>
          <w:iCs/>
          <w:lang w:val="da-DK"/>
        </w:rPr>
        <w:t>sloven</w:t>
      </w:r>
      <w:r w:rsidR="00DF1B06">
        <w:rPr>
          <w:iCs/>
          <w:lang w:val="da-DK"/>
        </w:rPr>
        <w:t xml:space="preserve">. Optjeningsprincippet </w:t>
      </w:r>
      <w:r w:rsidR="00355BEC">
        <w:rPr>
          <w:iCs/>
          <w:lang w:val="da-DK"/>
        </w:rPr>
        <w:t xml:space="preserve">var forudsat at </w:t>
      </w:r>
      <w:r w:rsidR="00DF1B06">
        <w:rPr>
          <w:iCs/>
          <w:lang w:val="da-DK"/>
        </w:rPr>
        <w:t xml:space="preserve">gælde </w:t>
      </w:r>
      <w:r w:rsidR="00355BEC">
        <w:rPr>
          <w:iCs/>
          <w:lang w:val="da-DK"/>
        </w:rPr>
        <w:t xml:space="preserve">for alle </w:t>
      </w:r>
      <w:r w:rsidRPr="00EE2622">
        <w:rPr>
          <w:iCs/>
          <w:lang w:val="da-DK"/>
        </w:rPr>
        <w:t xml:space="preserve">uanset </w:t>
      </w:r>
      <w:r w:rsidR="00DF1B06">
        <w:rPr>
          <w:iCs/>
          <w:lang w:val="da-DK"/>
        </w:rPr>
        <w:t xml:space="preserve">borgerens </w:t>
      </w:r>
      <w:r w:rsidRPr="00EE2622">
        <w:rPr>
          <w:iCs/>
          <w:lang w:val="da-DK"/>
        </w:rPr>
        <w:t>nationalitet, herunder</w:t>
      </w:r>
      <w:r w:rsidR="00027F76">
        <w:rPr>
          <w:iCs/>
          <w:lang w:val="da-DK"/>
        </w:rPr>
        <w:t xml:space="preserve"> </w:t>
      </w:r>
      <w:r w:rsidR="00C64DDA">
        <w:rPr>
          <w:iCs/>
          <w:lang w:val="da-DK"/>
        </w:rPr>
        <w:t>borgere omfattet af forordning nr. 883/04</w:t>
      </w:r>
      <w:r w:rsidR="00D71199">
        <w:rPr>
          <w:iCs/>
          <w:lang w:val="da-DK"/>
        </w:rPr>
        <w:t xml:space="preserve">. Dog blev </w:t>
      </w:r>
      <w:r w:rsidR="00D71199" w:rsidRPr="00D71199">
        <w:rPr>
          <w:iCs/>
          <w:lang w:val="da-DK"/>
        </w:rPr>
        <w:t>flygtninge</w:t>
      </w:r>
      <w:r w:rsidR="00245C0F">
        <w:rPr>
          <w:iCs/>
          <w:lang w:val="da-DK"/>
        </w:rPr>
        <w:t xml:space="preserve"> </w:t>
      </w:r>
      <w:r w:rsidR="00D71199" w:rsidRPr="00D71199">
        <w:rPr>
          <w:iCs/>
          <w:lang w:val="da-DK"/>
        </w:rPr>
        <w:t>undtaget fra optjeningsprincippet</w:t>
      </w:r>
      <w:r w:rsidR="0084291A">
        <w:rPr>
          <w:iCs/>
          <w:lang w:val="da-DK"/>
        </w:rPr>
        <w:t xml:space="preserve"> ved lov nr. </w:t>
      </w:r>
      <w:r w:rsidR="0084291A" w:rsidRPr="0084291A">
        <w:rPr>
          <w:iCs/>
          <w:lang w:val="da-DK"/>
        </w:rPr>
        <w:t>1398 af 23</w:t>
      </w:r>
      <w:r w:rsidR="00355BEC">
        <w:rPr>
          <w:iCs/>
          <w:lang w:val="da-DK"/>
        </w:rPr>
        <w:t xml:space="preserve">. december </w:t>
      </w:r>
      <w:r w:rsidR="0084291A" w:rsidRPr="0084291A">
        <w:rPr>
          <w:iCs/>
          <w:lang w:val="da-DK"/>
        </w:rPr>
        <w:t>2012</w:t>
      </w:r>
      <w:r w:rsidR="0084291A">
        <w:rPr>
          <w:iCs/>
          <w:lang w:val="da-DK"/>
        </w:rPr>
        <w:t xml:space="preserve"> med virkning fra 1. januar</w:t>
      </w:r>
      <w:r w:rsidR="00D71199">
        <w:rPr>
          <w:iCs/>
          <w:lang w:val="da-DK"/>
        </w:rPr>
        <w:t xml:space="preserve"> 2013</w:t>
      </w:r>
      <w:r w:rsidR="00245C0F">
        <w:rPr>
          <w:iCs/>
          <w:lang w:val="da-DK"/>
        </w:rPr>
        <w:t xml:space="preserve">, ligesom </w:t>
      </w:r>
      <w:r w:rsidR="007F1300">
        <w:rPr>
          <w:iCs/>
          <w:lang w:val="da-DK"/>
        </w:rPr>
        <w:t>perioder med bopæl eller beskæftigelse i</w:t>
      </w:r>
      <w:r w:rsidR="00FA2C1D">
        <w:rPr>
          <w:iCs/>
          <w:lang w:val="da-DK"/>
        </w:rPr>
        <w:t xml:space="preserve"> </w:t>
      </w:r>
      <w:r w:rsidR="00245C0F">
        <w:rPr>
          <w:iCs/>
          <w:lang w:val="da-DK"/>
        </w:rPr>
        <w:t xml:space="preserve">Grønland og på Færøerne ved samme lov blev ligestillet med </w:t>
      </w:r>
      <w:r w:rsidR="00FA2C1D">
        <w:rPr>
          <w:iCs/>
          <w:lang w:val="da-DK"/>
        </w:rPr>
        <w:t>perioder med bopæl eller beskæftigelse</w:t>
      </w:r>
      <w:r w:rsidR="00245C0F">
        <w:rPr>
          <w:iCs/>
          <w:lang w:val="da-DK"/>
        </w:rPr>
        <w:t xml:space="preserve"> i Danmark.  </w:t>
      </w:r>
      <w:r w:rsidR="00245C0F" w:rsidRPr="00D71199">
        <w:rPr>
          <w:iCs/>
          <w:lang w:val="da-DK"/>
        </w:rPr>
        <w:t xml:space="preserve"> </w:t>
      </w:r>
    </w:p>
    <w:p w:rsidR="00027F76" w:rsidRDefault="00027F76" w:rsidP="00FB0728">
      <w:pPr>
        <w:rPr>
          <w:iCs/>
          <w:lang w:val="da-DK"/>
        </w:rPr>
      </w:pPr>
    </w:p>
    <w:p w:rsidR="00355BEC" w:rsidRDefault="00027F76" w:rsidP="00FB0728">
      <w:pPr>
        <w:rPr>
          <w:iCs/>
          <w:lang w:val="da-DK"/>
        </w:rPr>
      </w:pPr>
      <w:r>
        <w:rPr>
          <w:iCs/>
          <w:lang w:val="da-DK"/>
        </w:rPr>
        <w:t>Skatteministeriet og Social-</w:t>
      </w:r>
      <w:r w:rsidR="00E63079">
        <w:rPr>
          <w:iCs/>
          <w:lang w:val="da-DK"/>
        </w:rPr>
        <w:t xml:space="preserve"> </w:t>
      </w:r>
      <w:r>
        <w:rPr>
          <w:iCs/>
          <w:lang w:val="da-DK"/>
        </w:rPr>
        <w:t xml:space="preserve">og Integrationsministeriet meddelte den </w:t>
      </w:r>
      <w:r w:rsidR="006C0C53">
        <w:rPr>
          <w:iCs/>
          <w:lang w:val="da-DK"/>
        </w:rPr>
        <w:t>9</w:t>
      </w:r>
      <w:r>
        <w:rPr>
          <w:iCs/>
          <w:lang w:val="da-DK"/>
        </w:rPr>
        <w:t xml:space="preserve">. juli 2013 Udbetaling Danmark, som administrerer børne- og ungeydelsen samt </w:t>
      </w:r>
      <w:r w:rsidR="00245C0F">
        <w:rPr>
          <w:iCs/>
          <w:lang w:val="da-DK"/>
        </w:rPr>
        <w:t>ydelser</w:t>
      </w:r>
      <w:r w:rsidR="00467096">
        <w:rPr>
          <w:iCs/>
          <w:lang w:val="da-DK"/>
        </w:rPr>
        <w:t>ne</w:t>
      </w:r>
      <w:r w:rsidR="00245C0F">
        <w:rPr>
          <w:iCs/>
          <w:lang w:val="da-DK"/>
        </w:rPr>
        <w:t xml:space="preserve"> efter </w:t>
      </w:r>
      <w:r>
        <w:rPr>
          <w:iCs/>
          <w:lang w:val="da-DK"/>
        </w:rPr>
        <w:t>børnetilskud</w:t>
      </w:r>
      <w:r w:rsidR="00245C0F">
        <w:rPr>
          <w:iCs/>
          <w:lang w:val="da-DK"/>
        </w:rPr>
        <w:t>sloven</w:t>
      </w:r>
      <w:r>
        <w:rPr>
          <w:iCs/>
          <w:lang w:val="da-DK"/>
        </w:rPr>
        <w:t xml:space="preserve">, at Udbetaling Danmark med øjeblikkelig virkning </w:t>
      </w:r>
      <w:r w:rsidR="004204B0">
        <w:rPr>
          <w:iCs/>
          <w:lang w:val="da-DK"/>
        </w:rPr>
        <w:t xml:space="preserve">skulle </w:t>
      </w:r>
      <w:r>
        <w:rPr>
          <w:iCs/>
          <w:lang w:val="da-DK"/>
        </w:rPr>
        <w:t>administrere optjeningsprincippet i overensstemmelse med sammenlægningsprincippet i artikel 6 i forordning nr. 883/04</w:t>
      </w:r>
      <w:r w:rsidR="00A01FDF">
        <w:rPr>
          <w:iCs/>
          <w:lang w:val="da-DK"/>
        </w:rPr>
        <w:t xml:space="preserve">. </w:t>
      </w:r>
    </w:p>
    <w:p w:rsidR="00355BEC" w:rsidRDefault="00355BEC" w:rsidP="00FB0728">
      <w:pPr>
        <w:rPr>
          <w:iCs/>
          <w:lang w:val="da-DK"/>
        </w:rPr>
      </w:pPr>
    </w:p>
    <w:p w:rsidR="00355BEC" w:rsidRDefault="00355BEC" w:rsidP="00FB0728">
      <w:pPr>
        <w:rPr>
          <w:iCs/>
          <w:lang w:val="da-DK"/>
        </w:rPr>
      </w:pPr>
      <w:r>
        <w:rPr>
          <w:iCs/>
          <w:lang w:val="da-DK"/>
        </w:rPr>
        <w:t xml:space="preserve">Desuden blev det meddelt, at </w:t>
      </w:r>
      <w:r w:rsidR="00A01FDF">
        <w:rPr>
          <w:iCs/>
          <w:lang w:val="da-DK"/>
        </w:rPr>
        <w:t xml:space="preserve">allerede afgjorte sager </w:t>
      </w:r>
      <w:r w:rsidR="002F3751">
        <w:rPr>
          <w:iCs/>
          <w:lang w:val="da-DK"/>
        </w:rPr>
        <w:t>om nedsættelse af børne- og ungeydelse og børnetilskud i henhold til</w:t>
      </w:r>
      <w:r w:rsidR="00A01FDF">
        <w:rPr>
          <w:iCs/>
          <w:lang w:val="da-DK"/>
        </w:rPr>
        <w:t xml:space="preserve"> optjeningsprincippet</w:t>
      </w:r>
      <w:r>
        <w:rPr>
          <w:iCs/>
          <w:lang w:val="da-DK"/>
        </w:rPr>
        <w:t>,</w:t>
      </w:r>
      <w:r w:rsidR="00A01FDF">
        <w:rPr>
          <w:iCs/>
          <w:lang w:val="da-DK"/>
        </w:rPr>
        <w:t xml:space="preserve"> for </w:t>
      </w:r>
      <w:r w:rsidR="005E6F7D">
        <w:rPr>
          <w:iCs/>
          <w:lang w:val="da-DK"/>
        </w:rPr>
        <w:t xml:space="preserve">så vidt angår personer omfattet af forordning </w:t>
      </w:r>
      <w:r w:rsidR="0071487F">
        <w:rPr>
          <w:iCs/>
          <w:lang w:val="da-DK"/>
        </w:rPr>
        <w:t xml:space="preserve">nr. </w:t>
      </w:r>
      <w:r w:rsidR="005E6F7D">
        <w:rPr>
          <w:iCs/>
          <w:lang w:val="da-DK"/>
        </w:rPr>
        <w:t>883/04</w:t>
      </w:r>
      <w:r>
        <w:rPr>
          <w:iCs/>
          <w:lang w:val="da-DK"/>
        </w:rPr>
        <w:t>,</w:t>
      </w:r>
      <w:r w:rsidR="002F3751">
        <w:rPr>
          <w:iCs/>
          <w:lang w:val="da-DK"/>
        </w:rPr>
        <w:t xml:space="preserve"> sk</w:t>
      </w:r>
      <w:r w:rsidR="004204B0">
        <w:rPr>
          <w:iCs/>
          <w:lang w:val="da-DK"/>
        </w:rPr>
        <w:t>ulle</w:t>
      </w:r>
      <w:r w:rsidR="002F3751">
        <w:rPr>
          <w:iCs/>
          <w:lang w:val="da-DK"/>
        </w:rPr>
        <w:t xml:space="preserve"> genoptages</w:t>
      </w:r>
      <w:r w:rsidR="00027F76">
        <w:rPr>
          <w:iCs/>
          <w:lang w:val="da-DK"/>
        </w:rPr>
        <w:t xml:space="preserve">. </w:t>
      </w:r>
    </w:p>
    <w:p w:rsidR="00355BEC" w:rsidRDefault="00355BEC" w:rsidP="00FB0728">
      <w:pPr>
        <w:rPr>
          <w:iCs/>
          <w:lang w:val="da-DK"/>
        </w:rPr>
      </w:pPr>
    </w:p>
    <w:p w:rsidR="003C5B01" w:rsidRDefault="00027F76" w:rsidP="00FB0728">
      <w:pPr>
        <w:rPr>
          <w:iCs/>
          <w:lang w:val="da-DK"/>
        </w:rPr>
      </w:pPr>
      <w:r>
        <w:rPr>
          <w:iCs/>
          <w:lang w:val="da-DK"/>
        </w:rPr>
        <w:t>Der er således</w:t>
      </w:r>
      <w:r w:rsidR="00AA1E01">
        <w:rPr>
          <w:iCs/>
          <w:lang w:val="da-DK"/>
        </w:rPr>
        <w:t xml:space="preserve"> allerede iværksat en</w:t>
      </w:r>
      <w:r w:rsidR="00CA70F7">
        <w:rPr>
          <w:iCs/>
          <w:lang w:val="da-DK"/>
        </w:rPr>
        <w:t xml:space="preserve"> ændret administration af optjeningsprincippet for </w:t>
      </w:r>
      <w:r w:rsidR="00355BEC">
        <w:rPr>
          <w:iCs/>
          <w:lang w:val="da-DK"/>
        </w:rPr>
        <w:t>personer</w:t>
      </w:r>
      <w:r w:rsidR="005E6F7D">
        <w:rPr>
          <w:iCs/>
          <w:lang w:val="da-DK"/>
        </w:rPr>
        <w:t xml:space="preserve"> omfattet af forordningen,</w:t>
      </w:r>
      <w:r w:rsidR="00CA70F7">
        <w:rPr>
          <w:iCs/>
          <w:lang w:val="da-DK"/>
        </w:rPr>
        <w:t xml:space="preserve"> således at beskæftigelses- og bopælsperioder, der er tilbagelagt efter en anden medlemsstats</w:t>
      </w:r>
      <w:r w:rsidR="00245C0F">
        <w:rPr>
          <w:iCs/>
          <w:lang w:val="da-DK"/>
        </w:rPr>
        <w:t>,</w:t>
      </w:r>
      <w:r w:rsidR="00CA70F7">
        <w:rPr>
          <w:iCs/>
          <w:lang w:val="da-DK"/>
        </w:rPr>
        <w:t xml:space="preserve"> EØS-</w:t>
      </w:r>
      <w:r w:rsidR="00BA7ECC">
        <w:rPr>
          <w:iCs/>
          <w:lang w:val="da-DK"/>
        </w:rPr>
        <w:t>stats eller s</w:t>
      </w:r>
      <w:r w:rsidR="00245C0F">
        <w:rPr>
          <w:iCs/>
          <w:lang w:val="da-DK"/>
        </w:rPr>
        <w:t>chweiz</w:t>
      </w:r>
      <w:r w:rsidR="00BA7ECC">
        <w:rPr>
          <w:iCs/>
          <w:lang w:val="da-DK"/>
        </w:rPr>
        <w:t>isk lovgivning</w:t>
      </w:r>
      <w:r w:rsidR="00CA70F7">
        <w:rPr>
          <w:iCs/>
          <w:lang w:val="da-DK"/>
        </w:rPr>
        <w:t xml:space="preserve">, </w:t>
      </w:r>
      <w:r w:rsidR="00910C6A">
        <w:rPr>
          <w:iCs/>
          <w:lang w:val="da-DK"/>
        </w:rPr>
        <w:t xml:space="preserve">for disse personer </w:t>
      </w:r>
      <w:r w:rsidR="00CA70F7">
        <w:rPr>
          <w:iCs/>
          <w:lang w:val="da-DK"/>
        </w:rPr>
        <w:t xml:space="preserve">medregnes ved vurderingen af, om der er optjent ret til børne- og ungeydelsen eller </w:t>
      </w:r>
      <w:r w:rsidR="00245C0F">
        <w:rPr>
          <w:iCs/>
          <w:lang w:val="da-DK"/>
        </w:rPr>
        <w:t xml:space="preserve">ydelser efter </w:t>
      </w:r>
      <w:r w:rsidR="00CA70F7">
        <w:rPr>
          <w:iCs/>
          <w:lang w:val="da-DK"/>
        </w:rPr>
        <w:t>børnetilskud</w:t>
      </w:r>
      <w:r w:rsidR="00245C0F">
        <w:rPr>
          <w:iCs/>
          <w:lang w:val="da-DK"/>
        </w:rPr>
        <w:t>sloven</w:t>
      </w:r>
      <w:r w:rsidR="00CA70F7">
        <w:rPr>
          <w:iCs/>
          <w:lang w:val="da-DK"/>
        </w:rPr>
        <w:t>.</w:t>
      </w:r>
      <w:r w:rsidR="00AA1E01">
        <w:rPr>
          <w:iCs/>
          <w:lang w:val="da-DK"/>
        </w:rPr>
        <w:t xml:space="preserve"> </w:t>
      </w:r>
    </w:p>
    <w:p w:rsidR="00EB7D74" w:rsidRDefault="00EB7D74" w:rsidP="000268DF">
      <w:pPr>
        <w:rPr>
          <w:iCs/>
          <w:lang w:val="da-DK"/>
        </w:rPr>
      </w:pPr>
    </w:p>
    <w:p w:rsidR="00CA438E" w:rsidRDefault="00CA438E" w:rsidP="000268DF">
      <w:pPr>
        <w:rPr>
          <w:i/>
          <w:iCs/>
          <w:lang w:val="da-DK"/>
        </w:rPr>
      </w:pPr>
      <w:r>
        <w:rPr>
          <w:i/>
          <w:iCs/>
          <w:lang w:val="da-DK"/>
        </w:rPr>
        <w:t>4. Lovforslaget</w:t>
      </w:r>
    </w:p>
    <w:p w:rsidR="00445EE8" w:rsidRPr="00445EE8" w:rsidRDefault="00445EE8" w:rsidP="00445EE8">
      <w:pPr>
        <w:rPr>
          <w:iCs/>
          <w:lang w:val="da-DK"/>
        </w:rPr>
      </w:pPr>
      <w:r w:rsidRPr="00445EE8">
        <w:rPr>
          <w:iCs/>
          <w:lang w:val="da-DK"/>
        </w:rPr>
        <w:t xml:space="preserve">Det foreslås at lovfæste den allerede ændrede administration af optjeningsprincippet </w:t>
      </w:r>
      <w:r w:rsidR="00E63079">
        <w:rPr>
          <w:iCs/>
          <w:lang w:val="da-DK"/>
        </w:rPr>
        <w:t>således, at det tydeliggøres, at</w:t>
      </w:r>
      <w:r w:rsidR="00CB5771">
        <w:rPr>
          <w:iCs/>
          <w:lang w:val="da-DK"/>
        </w:rPr>
        <w:t xml:space="preserve"> </w:t>
      </w:r>
      <w:r w:rsidRPr="00445EE8">
        <w:rPr>
          <w:iCs/>
          <w:lang w:val="da-DK"/>
        </w:rPr>
        <w:t xml:space="preserve">sammenlægningsprincippet for personer </w:t>
      </w:r>
      <w:r>
        <w:rPr>
          <w:iCs/>
          <w:lang w:val="da-DK"/>
        </w:rPr>
        <w:t>omfattet af forordning nr. 883/04</w:t>
      </w:r>
      <w:r w:rsidR="00CB5771">
        <w:rPr>
          <w:iCs/>
          <w:lang w:val="da-DK"/>
        </w:rPr>
        <w:t xml:space="preserve"> finder anvendelse</w:t>
      </w:r>
      <w:r>
        <w:rPr>
          <w:iCs/>
          <w:lang w:val="da-DK"/>
        </w:rPr>
        <w:t>.</w:t>
      </w:r>
    </w:p>
    <w:p w:rsidR="00445EE8" w:rsidRDefault="00445EE8" w:rsidP="00910C6A">
      <w:pPr>
        <w:rPr>
          <w:iCs/>
          <w:lang w:val="da-DK"/>
        </w:rPr>
      </w:pPr>
    </w:p>
    <w:p w:rsidR="007628FC" w:rsidRDefault="007628FC" w:rsidP="00910C6A">
      <w:pPr>
        <w:rPr>
          <w:iCs/>
          <w:lang w:val="da-DK"/>
        </w:rPr>
      </w:pPr>
      <w:r>
        <w:rPr>
          <w:iCs/>
          <w:lang w:val="da-DK"/>
        </w:rPr>
        <w:t>Ordlyden af de eksisterende lovbestemmelser udelukker ikke i sig selv, at man iagttager sammenlægningsprincippet i forbindelse med anvendelsen af det eksisterende optjeningsprincip. Men det står med stor tydelighed flere steder i bemærkningerne til lovforslaget om indførelse af optjeningsprincippet</w:t>
      </w:r>
      <w:r w:rsidR="0050796D">
        <w:rPr>
          <w:iCs/>
          <w:lang w:val="da-DK"/>
        </w:rPr>
        <w:t xml:space="preserve"> </w:t>
      </w:r>
      <w:r w:rsidR="00CB5771">
        <w:rPr>
          <w:iCs/>
          <w:lang w:val="da-DK"/>
        </w:rPr>
        <w:t>(</w:t>
      </w:r>
      <w:r w:rsidR="00433F67">
        <w:rPr>
          <w:iCs/>
          <w:lang w:val="da-DK"/>
        </w:rPr>
        <w:t>lovforslag nr. L79 af 17. november 2010, FT 2010-11, tillæg A)</w:t>
      </w:r>
      <w:r>
        <w:rPr>
          <w:iCs/>
          <w:lang w:val="da-DK"/>
        </w:rPr>
        <w:t>, at hensigten med indførelsen af optjeningsprincippet var, at beskæftigelses- og bopælsperioder skulle være tilbagelagt i Danmark, således at man kun opnår ret til ydelser, hvis man har en reel tilknytning til Danmark.</w:t>
      </w:r>
      <w:r w:rsidR="00B94749">
        <w:rPr>
          <w:iCs/>
          <w:lang w:val="da-DK"/>
        </w:rPr>
        <w:t xml:space="preserve"> Den danske lovgivning er dermed ikke i overensstemmelse med EU-retten.</w:t>
      </w:r>
    </w:p>
    <w:p w:rsidR="007628FC" w:rsidRDefault="007628FC" w:rsidP="00910C6A">
      <w:pPr>
        <w:rPr>
          <w:iCs/>
          <w:lang w:val="da-DK"/>
        </w:rPr>
      </w:pPr>
    </w:p>
    <w:p w:rsidR="00445EE8" w:rsidRDefault="00B94749" w:rsidP="00910C6A">
      <w:pPr>
        <w:rPr>
          <w:iCs/>
          <w:lang w:val="da-DK"/>
        </w:rPr>
      </w:pPr>
      <w:r>
        <w:rPr>
          <w:iCs/>
          <w:lang w:val="da-DK"/>
        </w:rPr>
        <w:t xml:space="preserve">Danmark har en forpligtelse til at sikre, at den danske lovgivning </w:t>
      </w:r>
      <w:r w:rsidR="00433F67">
        <w:rPr>
          <w:iCs/>
          <w:lang w:val="da-DK"/>
        </w:rPr>
        <w:t xml:space="preserve">er </w:t>
      </w:r>
      <w:r>
        <w:rPr>
          <w:iCs/>
          <w:lang w:val="da-DK"/>
        </w:rPr>
        <w:t>i overensstemmelse med EU-retten</w:t>
      </w:r>
      <w:r w:rsidR="005F1564">
        <w:rPr>
          <w:iCs/>
          <w:lang w:val="da-DK"/>
        </w:rPr>
        <w:t>, selvom administrationen allerede er ændret</w:t>
      </w:r>
      <w:r>
        <w:rPr>
          <w:iCs/>
          <w:lang w:val="da-DK"/>
        </w:rPr>
        <w:t>. Hertil kommer,</w:t>
      </w:r>
      <w:r w:rsidR="005F1564">
        <w:rPr>
          <w:iCs/>
          <w:lang w:val="da-DK"/>
        </w:rPr>
        <w:t xml:space="preserve"> </w:t>
      </w:r>
      <w:r w:rsidR="00445EE8">
        <w:rPr>
          <w:iCs/>
          <w:lang w:val="da-DK"/>
        </w:rPr>
        <w:t xml:space="preserve">at retssikkerhedsmæssige hensyn tilsiger, at lovgivningen klart afspejler Danmarks EU-retlige forpligtelser. </w:t>
      </w:r>
      <w:r w:rsidR="00685F44">
        <w:rPr>
          <w:iCs/>
          <w:lang w:val="da-DK"/>
        </w:rPr>
        <w:t xml:space="preserve">På den baggrund foreslås det at ændre loven. </w:t>
      </w:r>
      <w:r w:rsidR="00445EE8">
        <w:rPr>
          <w:iCs/>
          <w:lang w:val="da-DK"/>
        </w:rPr>
        <w:t>Dette har Danmark tillige tilkendegivet i sit svar til Kommissionen den 18. juni 2013.</w:t>
      </w:r>
    </w:p>
    <w:p w:rsidR="00445EE8" w:rsidRDefault="00445EE8" w:rsidP="00910C6A">
      <w:pPr>
        <w:rPr>
          <w:iCs/>
          <w:lang w:val="da-DK"/>
        </w:rPr>
      </w:pPr>
    </w:p>
    <w:p w:rsidR="00910C6A" w:rsidRPr="00910C6A" w:rsidRDefault="00910C6A" w:rsidP="00910C6A">
      <w:pPr>
        <w:rPr>
          <w:iCs/>
          <w:lang w:val="da-DK"/>
        </w:rPr>
      </w:pPr>
      <w:r w:rsidRPr="00910C6A">
        <w:rPr>
          <w:iCs/>
          <w:lang w:val="da-DK"/>
        </w:rPr>
        <w:t>Når sammenlægningsprincippet i forordning nr. 883/04 finder anvendelse i forhold til optjeningsprincippet for børne- og ungeydelsen og ydelser efter børnetilskudsloven, indebærer det en forpligtelse til at medregne beskæftigelses- og bopælsperioder, der er tilbagelagt efter en anden medlemsstats</w:t>
      </w:r>
      <w:r w:rsidR="009A59AD" w:rsidRPr="009A59AD">
        <w:rPr>
          <w:iCs/>
          <w:lang w:val="da-DK"/>
        </w:rPr>
        <w:t>, EØS-stats eller schweizisk</w:t>
      </w:r>
      <w:r w:rsidR="009A59AD">
        <w:rPr>
          <w:iCs/>
          <w:lang w:val="da-DK"/>
        </w:rPr>
        <w:t xml:space="preserve"> </w:t>
      </w:r>
      <w:r w:rsidRPr="00910C6A">
        <w:rPr>
          <w:iCs/>
          <w:lang w:val="da-DK"/>
        </w:rPr>
        <w:t>lovgivning, ved vurderingen af, om der er optjent ret til disse ydelser.</w:t>
      </w:r>
    </w:p>
    <w:p w:rsidR="00910C6A" w:rsidRPr="00910C6A" w:rsidRDefault="00910C6A" w:rsidP="00910C6A">
      <w:pPr>
        <w:rPr>
          <w:iCs/>
          <w:lang w:val="da-DK"/>
        </w:rPr>
      </w:pPr>
    </w:p>
    <w:p w:rsidR="00910C6A" w:rsidRPr="00910C6A" w:rsidRDefault="00910C6A" w:rsidP="00910C6A">
      <w:pPr>
        <w:rPr>
          <w:iCs/>
          <w:lang w:val="da-DK"/>
        </w:rPr>
      </w:pPr>
      <w:r w:rsidRPr="00910C6A">
        <w:rPr>
          <w:iCs/>
          <w:lang w:val="da-DK"/>
        </w:rPr>
        <w:t xml:space="preserve">De fleste personer omfattet af forordning nr. 883/04 vil have haft bopæl eller beskæftigelse i en medlemsstat i mindst 2 år inden for de seneste 10 år, </w:t>
      </w:r>
      <w:r w:rsidR="00E9101E">
        <w:rPr>
          <w:iCs/>
          <w:lang w:val="da-DK"/>
        </w:rPr>
        <w:t>og de vil således opfylde</w:t>
      </w:r>
      <w:r w:rsidR="00E9101E" w:rsidRPr="00910C6A">
        <w:rPr>
          <w:iCs/>
          <w:lang w:val="da-DK"/>
        </w:rPr>
        <w:t xml:space="preserve"> </w:t>
      </w:r>
      <w:r w:rsidRPr="00910C6A">
        <w:rPr>
          <w:iCs/>
          <w:lang w:val="da-DK"/>
        </w:rPr>
        <w:t xml:space="preserve">optjeningsprincippet </w:t>
      </w:r>
      <w:r w:rsidR="00E9101E">
        <w:rPr>
          <w:iCs/>
          <w:lang w:val="da-DK"/>
        </w:rPr>
        <w:t>og have ret til fulde ydelser, når de øvrige betingelser herfor er opfyldt.</w:t>
      </w:r>
    </w:p>
    <w:p w:rsidR="00910C6A" w:rsidRPr="00910C6A" w:rsidRDefault="00910C6A" w:rsidP="00910C6A">
      <w:pPr>
        <w:rPr>
          <w:iCs/>
          <w:lang w:val="da-DK"/>
        </w:rPr>
      </w:pPr>
    </w:p>
    <w:p w:rsidR="00C938CE" w:rsidRDefault="00910C6A" w:rsidP="00366B3F">
      <w:pPr>
        <w:rPr>
          <w:iCs/>
          <w:lang w:val="da-DK"/>
        </w:rPr>
      </w:pPr>
      <w:r w:rsidRPr="00910C6A">
        <w:rPr>
          <w:iCs/>
          <w:lang w:val="da-DK"/>
        </w:rPr>
        <w:t xml:space="preserve">Da forordning nr. 883/04 har forrang for national lovgivning, </w:t>
      </w:r>
      <w:r>
        <w:rPr>
          <w:iCs/>
          <w:lang w:val="da-DK"/>
        </w:rPr>
        <w:t xml:space="preserve">er </w:t>
      </w:r>
      <w:r w:rsidR="00982735">
        <w:rPr>
          <w:iCs/>
          <w:lang w:val="da-DK"/>
        </w:rPr>
        <w:t>den umiddelbart gældende i Danmark</w:t>
      </w:r>
      <w:r w:rsidR="00736EED">
        <w:rPr>
          <w:iCs/>
          <w:lang w:val="da-DK"/>
        </w:rPr>
        <w:t>, og administrationen af optjeningsprincippet er derfor allerede ændret, så sammenlægningsprincippet i forordningen anvendes</w:t>
      </w:r>
      <w:r w:rsidR="00982735">
        <w:rPr>
          <w:iCs/>
          <w:lang w:val="da-DK"/>
        </w:rPr>
        <w:t>. L</w:t>
      </w:r>
      <w:r>
        <w:rPr>
          <w:iCs/>
          <w:lang w:val="da-DK"/>
        </w:rPr>
        <w:t xml:space="preserve">ovforslagets </w:t>
      </w:r>
      <w:r w:rsidRPr="00910C6A">
        <w:rPr>
          <w:iCs/>
          <w:lang w:val="da-DK"/>
        </w:rPr>
        <w:t xml:space="preserve">formål </w:t>
      </w:r>
      <w:r w:rsidR="00982735">
        <w:rPr>
          <w:iCs/>
          <w:lang w:val="da-DK"/>
        </w:rPr>
        <w:t xml:space="preserve">er således </w:t>
      </w:r>
      <w:r w:rsidRPr="00910C6A">
        <w:rPr>
          <w:iCs/>
          <w:lang w:val="da-DK"/>
        </w:rPr>
        <w:t xml:space="preserve">at </w:t>
      </w:r>
      <w:r w:rsidR="0085561A">
        <w:rPr>
          <w:iCs/>
          <w:lang w:val="da-DK"/>
        </w:rPr>
        <w:t>tilrette</w:t>
      </w:r>
      <w:r w:rsidR="0085561A" w:rsidRPr="00910C6A">
        <w:rPr>
          <w:iCs/>
          <w:lang w:val="da-DK"/>
        </w:rPr>
        <w:t xml:space="preserve"> </w:t>
      </w:r>
      <w:r w:rsidRPr="00910C6A">
        <w:rPr>
          <w:iCs/>
          <w:lang w:val="da-DK"/>
        </w:rPr>
        <w:t>lovgivning</w:t>
      </w:r>
      <w:r w:rsidR="0085561A">
        <w:rPr>
          <w:iCs/>
          <w:lang w:val="da-DK"/>
        </w:rPr>
        <w:t>en, så den klart afspejler forpligtelserne i henhold til</w:t>
      </w:r>
      <w:r w:rsidRPr="00910C6A">
        <w:rPr>
          <w:iCs/>
          <w:lang w:val="da-DK"/>
        </w:rPr>
        <w:t xml:space="preserve"> </w:t>
      </w:r>
      <w:r w:rsidR="00E63079">
        <w:rPr>
          <w:iCs/>
          <w:lang w:val="da-DK"/>
        </w:rPr>
        <w:t>artikel 6 i forordningen</w:t>
      </w:r>
      <w:r w:rsidRPr="00910C6A">
        <w:rPr>
          <w:iCs/>
          <w:lang w:val="da-DK"/>
        </w:rPr>
        <w:t>.</w:t>
      </w:r>
    </w:p>
    <w:p w:rsidR="00974899" w:rsidRDefault="00974899" w:rsidP="000268DF">
      <w:pPr>
        <w:rPr>
          <w:iCs/>
          <w:lang w:val="da-DK"/>
        </w:rPr>
      </w:pPr>
    </w:p>
    <w:p w:rsidR="000268DF" w:rsidRDefault="00CA438E" w:rsidP="000268DF">
      <w:pPr>
        <w:rPr>
          <w:lang w:val="da-DK"/>
        </w:rPr>
      </w:pPr>
      <w:r>
        <w:rPr>
          <w:i/>
          <w:iCs/>
          <w:lang w:val="da-DK"/>
        </w:rPr>
        <w:t>5</w:t>
      </w:r>
      <w:r w:rsidR="000268DF" w:rsidRPr="000268DF">
        <w:rPr>
          <w:i/>
          <w:iCs/>
          <w:lang w:val="da-DK"/>
        </w:rPr>
        <w:t xml:space="preserve">. Økonomiske konsekvenser for det offentlige </w:t>
      </w:r>
    </w:p>
    <w:p w:rsidR="00113BD9" w:rsidRPr="00DD4B2D" w:rsidRDefault="00113BD9" w:rsidP="00DD4B2D">
      <w:pPr>
        <w:rPr>
          <w:iCs/>
          <w:lang w:val="da-DK"/>
        </w:rPr>
      </w:pPr>
      <w:r w:rsidRPr="00DD4B2D">
        <w:rPr>
          <w:iCs/>
          <w:lang w:val="da-DK"/>
        </w:rPr>
        <w:t>Da lovforslaget lovfæster den allerede gældende administration af optjeningsprincippet, medfører lovforslaget i sig selv ingen økonomiske konsekvenser for det offentlige. De økonomiske konsekvenser kan således henføres til, at administrationen af optjeningsprincippet er ændret.</w:t>
      </w:r>
    </w:p>
    <w:p w:rsidR="00113BD9" w:rsidRPr="00DD4B2D" w:rsidRDefault="00113BD9" w:rsidP="00DD4B2D">
      <w:pPr>
        <w:rPr>
          <w:iCs/>
          <w:lang w:val="da-DK"/>
        </w:rPr>
      </w:pPr>
    </w:p>
    <w:p w:rsidR="00113BD9" w:rsidRPr="00DD4B2D" w:rsidRDefault="00113BD9" w:rsidP="00DD4B2D">
      <w:pPr>
        <w:rPr>
          <w:iCs/>
          <w:lang w:val="da-DK"/>
        </w:rPr>
      </w:pPr>
      <w:r w:rsidRPr="00DD4B2D">
        <w:rPr>
          <w:iCs/>
          <w:lang w:val="da-DK"/>
        </w:rPr>
        <w:t>Den ændrede administration af optjeningsprincippet skønnes at medføre merudgifter på ca. 20 mio. kr. årligt før tilbageløb og ca. 15 mio. kr. årligt efter tilbageløb. I 2013 skønnes halv virkning som følge af, at der siden medio 2013 er administreret i overensstemmelse med EU-retten.</w:t>
      </w:r>
    </w:p>
    <w:p w:rsidR="00113BD9" w:rsidRPr="00DD4B2D" w:rsidRDefault="00113BD9" w:rsidP="00DD4B2D">
      <w:pPr>
        <w:rPr>
          <w:iCs/>
          <w:lang w:val="da-DK"/>
        </w:rPr>
      </w:pPr>
    </w:p>
    <w:p w:rsidR="00113BD9" w:rsidRPr="00DD4B2D" w:rsidRDefault="00113BD9" w:rsidP="00DD4B2D">
      <w:pPr>
        <w:rPr>
          <w:iCs/>
          <w:lang w:val="da-DK"/>
        </w:rPr>
      </w:pPr>
      <w:r w:rsidRPr="00DD4B2D">
        <w:rPr>
          <w:iCs/>
          <w:lang w:val="da-DK"/>
        </w:rPr>
        <w:t xml:space="preserve">Det skønnes endvidere, at ca. 1.800 modtagere omfattet af forordning nr. 883/04 på et givet tidspunkt vil få fuld ydelse i stedet for reduceret ydelse som konsekvens af den ændrede administration af optjeningsprincippet. Disse modtagere får ydelse for tilsammen ca. 2.900 børn. </w:t>
      </w:r>
    </w:p>
    <w:p w:rsidR="00113BD9" w:rsidRPr="00DD4B2D" w:rsidRDefault="00113BD9" w:rsidP="00DD4B2D">
      <w:pPr>
        <w:rPr>
          <w:iCs/>
          <w:lang w:val="da-DK"/>
        </w:rPr>
      </w:pPr>
    </w:p>
    <w:p w:rsidR="00113BD9" w:rsidRPr="00DD4B2D" w:rsidRDefault="00113BD9" w:rsidP="00DD4B2D">
      <w:pPr>
        <w:rPr>
          <w:iCs/>
          <w:lang w:val="da-DK"/>
        </w:rPr>
      </w:pPr>
      <w:r w:rsidRPr="00DD4B2D">
        <w:rPr>
          <w:iCs/>
          <w:lang w:val="da-DK"/>
        </w:rPr>
        <w:t>Da den ændrede anvendelse af optjeningsprincippet har virkning fra 1. januar 2012, vil der være en række genoptagelsessager. Disse skønnes samlet set at udgøre ca. 20 mio. kr., der forudsættes udbetalt i 2014.</w:t>
      </w:r>
    </w:p>
    <w:p w:rsidR="00113BD9" w:rsidRPr="00DD4B2D" w:rsidRDefault="00113BD9" w:rsidP="00DD4B2D">
      <w:pPr>
        <w:rPr>
          <w:iCs/>
          <w:lang w:val="da-DK"/>
        </w:rPr>
      </w:pPr>
    </w:p>
    <w:p w:rsidR="00113BD9" w:rsidRDefault="00113BD9" w:rsidP="00DD4B2D">
      <w:pPr>
        <w:rPr>
          <w:iCs/>
          <w:lang w:val="da-DK"/>
        </w:rPr>
      </w:pPr>
      <w:r w:rsidRPr="00DD4B2D">
        <w:rPr>
          <w:iCs/>
          <w:lang w:val="da-DK"/>
        </w:rPr>
        <w:t xml:space="preserve">Lovforslaget har ingen provenumæssige konsekvenser for kommunerne og regionerne.  </w:t>
      </w:r>
    </w:p>
    <w:p w:rsidR="00113BD9" w:rsidRPr="00DD4B2D" w:rsidRDefault="00113BD9" w:rsidP="00DD4B2D">
      <w:pPr>
        <w:rPr>
          <w:iCs/>
          <w:lang w:val="da-DK"/>
        </w:rPr>
      </w:pPr>
    </w:p>
    <w:tbl>
      <w:tblPr>
        <w:tblpPr w:leftFromText="141" w:rightFromText="141" w:vertAnchor="text" w:horzAnchor="margin" w:tblpY="128"/>
        <w:tblW w:w="5031" w:type="pct"/>
        <w:tblCellMar>
          <w:top w:w="28" w:type="dxa"/>
          <w:left w:w="57" w:type="dxa"/>
          <w:bottom w:w="28" w:type="dxa"/>
          <w:right w:w="57" w:type="dxa"/>
        </w:tblCellMar>
        <w:tblLook w:val="0000" w:firstRow="0" w:lastRow="0" w:firstColumn="0" w:lastColumn="0" w:noHBand="0" w:noVBand="0"/>
      </w:tblPr>
      <w:tblGrid>
        <w:gridCol w:w="4582"/>
        <w:gridCol w:w="881"/>
        <w:gridCol w:w="881"/>
        <w:gridCol w:w="883"/>
        <w:gridCol w:w="828"/>
        <w:gridCol w:w="828"/>
        <w:gridCol w:w="815"/>
      </w:tblGrid>
      <w:tr w:rsidR="00113BD9" w:rsidRPr="00361A51" w:rsidTr="00E8186C">
        <w:tc>
          <w:tcPr>
            <w:tcW w:w="5000" w:type="pct"/>
            <w:gridSpan w:val="7"/>
            <w:tcBorders>
              <w:top w:val="single" w:sz="4" w:space="0" w:color="auto"/>
            </w:tcBorders>
            <w:shd w:val="clear" w:color="auto" w:fill="auto"/>
            <w:tcMar>
              <w:left w:w="0" w:type="dxa"/>
              <w:right w:w="0" w:type="dxa"/>
            </w:tcMar>
            <w:vAlign w:val="bottom"/>
          </w:tcPr>
          <w:p w:rsidR="00113BD9" w:rsidRPr="000700D3" w:rsidRDefault="00113BD9" w:rsidP="00E8186C">
            <w:pPr>
              <w:pStyle w:val="TabelTal"/>
              <w:keepNext/>
              <w:spacing w:line="240" w:lineRule="auto"/>
              <w:jc w:val="left"/>
              <w:rPr>
                <w:rFonts w:ascii="Times New Roman" w:hAnsi="Times New Roman"/>
                <w:sz w:val="16"/>
                <w:szCs w:val="16"/>
              </w:rPr>
            </w:pPr>
            <w:r w:rsidRPr="000700D3">
              <w:rPr>
                <w:rFonts w:ascii="Times New Roman" w:hAnsi="Times New Roman"/>
                <w:b/>
                <w:sz w:val="20"/>
                <w:szCs w:val="20"/>
              </w:rPr>
              <w:t xml:space="preserve">Tabel 1. </w:t>
            </w:r>
            <w:r>
              <w:rPr>
                <w:rFonts w:ascii="Times New Roman" w:hAnsi="Times New Roman"/>
                <w:b/>
                <w:sz w:val="20"/>
                <w:szCs w:val="20"/>
              </w:rPr>
              <w:t>Økonomiske</w:t>
            </w:r>
            <w:r w:rsidRPr="000700D3">
              <w:rPr>
                <w:rFonts w:ascii="Times New Roman" w:hAnsi="Times New Roman"/>
                <w:b/>
                <w:sz w:val="20"/>
                <w:szCs w:val="20"/>
              </w:rPr>
              <w:t xml:space="preserve"> konsekvenser af ophævelse af optjeningsprincippet for EU/EØS-borgere</w:t>
            </w:r>
          </w:p>
        </w:tc>
      </w:tr>
      <w:tr w:rsidR="00113BD9" w:rsidRPr="00815D67" w:rsidTr="00E8186C">
        <w:tc>
          <w:tcPr>
            <w:tcW w:w="2363" w:type="pct"/>
            <w:tcBorders>
              <w:top w:val="single" w:sz="4" w:space="0" w:color="auto"/>
              <w:right w:val="single" w:sz="4" w:space="0" w:color="auto"/>
            </w:tcBorders>
            <w:shd w:val="clear" w:color="auto" w:fill="auto"/>
            <w:tcMar>
              <w:left w:w="0" w:type="dxa"/>
              <w:right w:w="0" w:type="dxa"/>
            </w:tcMar>
            <w:vAlign w:val="bottom"/>
          </w:tcPr>
          <w:p w:rsidR="00113BD9" w:rsidRPr="000700D3" w:rsidRDefault="00113BD9" w:rsidP="00E8186C">
            <w:pPr>
              <w:pStyle w:val="TabelTal"/>
              <w:keepNext/>
              <w:spacing w:line="240" w:lineRule="auto"/>
              <w:jc w:val="both"/>
              <w:rPr>
                <w:rFonts w:ascii="Times New Roman" w:hAnsi="Times New Roman"/>
                <w:sz w:val="16"/>
                <w:szCs w:val="16"/>
              </w:rPr>
            </w:pPr>
          </w:p>
        </w:tc>
        <w:tc>
          <w:tcPr>
            <w:tcW w:w="1363" w:type="pct"/>
            <w:gridSpan w:val="3"/>
            <w:tcBorders>
              <w:top w:val="single" w:sz="4" w:space="0" w:color="auto"/>
              <w:left w:val="single" w:sz="4" w:space="0" w:color="auto"/>
              <w:bottom w:val="single" w:sz="4" w:space="0" w:color="auto"/>
            </w:tcBorders>
            <w:shd w:val="clear" w:color="auto" w:fill="auto"/>
            <w:tcMar>
              <w:top w:w="28" w:type="dxa"/>
              <w:left w:w="113" w:type="dxa"/>
              <w:right w:w="113" w:type="dxa"/>
            </w:tcMar>
            <w:vAlign w:val="bottom"/>
          </w:tcPr>
          <w:p w:rsidR="00113BD9" w:rsidRPr="000700D3" w:rsidRDefault="00113BD9" w:rsidP="00E8186C">
            <w:pPr>
              <w:pStyle w:val="TabelTal"/>
              <w:keepNext/>
              <w:spacing w:line="240" w:lineRule="auto"/>
              <w:jc w:val="center"/>
              <w:rPr>
                <w:rFonts w:ascii="Times New Roman" w:hAnsi="Times New Roman"/>
                <w:sz w:val="16"/>
                <w:szCs w:val="16"/>
              </w:rPr>
            </w:pPr>
            <w:r>
              <w:rPr>
                <w:rFonts w:ascii="Times New Roman" w:hAnsi="Times New Roman"/>
                <w:sz w:val="16"/>
                <w:szCs w:val="16"/>
              </w:rPr>
              <w:t>Indkomstår</w:t>
            </w:r>
          </w:p>
        </w:tc>
        <w:tc>
          <w:tcPr>
            <w:tcW w:w="854" w:type="pct"/>
            <w:gridSpan w:val="2"/>
            <w:tcBorders>
              <w:top w:val="single" w:sz="4" w:space="0" w:color="auto"/>
              <w:left w:val="single" w:sz="4" w:space="0" w:color="auto"/>
              <w:bottom w:val="single" w:sz="4" w:space="0" w:color="auto"/>
            </w:tcBorders>
            <w:vAlign w:val="bottom"/>
          </w:tcPr>
          <w:p w:rsidR="00113BD9" w:rsidRPr="000700D3" w:rsidRDefault="00113BD9" w:rsidP="00E8186C">
            <w:pPr>
              <w:pStyle w:val="TabelTal"/>
              <w:keepNext/>
              <w:spacing w:line="240" w:lineRule="auto"/>
              <w:jc w:val="center"/>
              <w:rPr>
                <w:rFonts w:ascii="Times New Roman" w:hAnsi="Times New Roman"/>
                <w:sz w:val="16"/>
                <w:szCs w:val="16"/>
              </w:rPr>
            </w:pPr>
            <w:r>
              <w:rPr>
                <w:rFonts w:ascii="Times New Roman" w:hAnsi="Times New Roman"/>
                <w:sz w:val="16"/>
                <w:szCs w:val="16"/>
              </w:rPr>
              <w:t>Finansår</w:t>
            </w:r>
          </w:p>
        </w:tc>
        <w:tc>
          <w:tcPr>
            <w:tcW w:w="421" w:type="pct"/>
            <w:tcBorders>
              <w:top w:val="single" w:sz="4" w:space="0" w:color="auto"/>
              <w:left w:val="single" w:sz="4" w:space="0" w:color="auto"/>
            </w:tcBorders>
            <w:vAlign w:val="bottom"/>
          </w:tcPr>
          <w:p w:rsidR="00113BD9" w:rsidRPr="000700D3" w:rsidRDefault="00113BD9" w:rsidP="00E8186C">
            <w:pPr>
              <w:pStyle w:val="TabelTal"/>
              <w:keepNext/>
              <w:spacing w:line="240" w:lineRule="auto"/>
              <w:jc w:val="center"/>
              <w:rPr>
                <w:rFonts w:ascii="Times New Roman" w:hAnsi="Times New Roman"/>
                <w:sz w:val="16"/>
                <w:szCs w:val="16"/>
              </w:rPr>
            </w:pPr>
          </w:p>
        </w:tc>
      </w:tr>
      <w:tr w:rsidR="00113BD9" w:rsidRPr="00815D67" w:rsidTr="00E8186C">
        <w:tc>
          <w:tcPr>
            <w:tcW w:w="2363" w:type="pct"/>
            <w:tcBorders>
              <w:bottom w:val="single" w:sz="4" w:space="0" w:color="auto"/>
              <w:right w:val="single" w:sz="4" w:space="0" w:color="auto"/>
            </w:tcBorders>
            <w:shd w:val="clear" w:color="auto" w:fill="auto"/>
            <w:tcMar>
              <w:left w:w="0" w:type="dxa"/>
              <w:right w:w="0" w:type="dxa"/>
            </w:tcMar>
            <w:vAlign w:val="bottom"/>
          </w:tcPr>
          <w:p w:rsidR="00113BD9" w:rsidRPr="000700D3" w:rsidRDefault="00113BD9" w:rsidP="00E8186C">
            <w:pPr>
              <w:pStyle w:val="TabelTal"/>
              <w:keepNext/>
              <w:spacing w:line="240" w:lineRule="auto"/>
              <w:jc w:val="both"/>
              <w:rPr>
                <w:rFonts w:ascii="Times New Roman" w:hAnsi="Times New Roman"/>
                <w:sz w:val="16"/>
                <w:szCs w:val="16"/>
              </w:rPr>
            </w:pPr>
            <w:r w:rsidRPr="000700D3">
              <w:rPr>
                <w:rFonts w:ascii="Times New Roman" w:hAnsi="Times New Roman"/>
                <w:sz w:val="16"/>
                <w:szCs w:val="16"/>
              </w:rPr>
              <w:t>Mio. kr. (2014-niveau)</w:t>
            </w:r>
          </w:p>
        </w:tc>
        <w:tc>
          <w:tcPr>
            <w:tcW w:w="454" w:type="pct"/>
            <w:tcBorders>
              <w:left w:val="single" w:sz="4" w:space="0" w:color="auto"/>
              <w:bottom w:val="single" w:sz="4" w:space="0" w:color="auto"/>
            </w:tcBorders>
            <w:shd w:val="clear" w:color="auto" w:fill="auto"/>
            <w:tcMar>
              <w:top w:w="28" w:type="dxa"/>
              <w:left w:w="113" w:type="dxa"/>
              <w:right w:w="113" w:type="dxa"/>
            </w:tcMar>
            <w:vAlign w:val="bottom"/>
          </w:tcPr>
          <w:p w:rsidR="00113BD9" w:rsidRPr="000700D3" w:rsidRDefault="00113BD9" w:rsidP="00E8186C">
            <w:pPr>
              <w:pStyle w:val="TabelTal"/>
              <w:keepNext/>
              <w:spacing w:line="240" w:lineRule="auto"/>
              <w:jc w:val="center"/>
              <w:rPr>
                <w:rFonts w:ascii="Times New Roman" w:hAnsi="Times New Roman"/>
                <w:sz w:val="16"/>
                <w:szCs w:val="16"/>
              </w:rPr>
            </w:pPr>
            <w:r w:rsidRPr="000700D3">
              <w:rPr>
                <w:rFonts w:ascii="Times New Roman" w:hAnsi="Times New Roman"/>
                <w:sz w:val="16"/>
                <w:szCs w:val="16"/>
              </w:rPr>
              <w:t>2013</w:t>
            </w:r>
          </w:p>
        </w:tc>
        <w:tc>
          <w:tcPr>
            <w:tcW w:w="454" w:type="pct"/>
            <w:tcBorders>
              <w:left w:val="single" w:sz="4" w:space="0" w:color="auto"/>
              <w:bottom w:val="single" w:sz="4" w:space="0" w:color="auto"/>
            </w:tcBorders>
            <w:shd w:val="clear" w:color="auto" w:fill="auto"/>
            <w:vAlign w:val="bottom"/>
          </w:tcPr>
          <w:p w:rsidR="00113BD9" w:rsidRPr="000700D3" w:rsidRDefault="00113BD9" w:rsidP="00E8186C">
            <w:pPr>
              <w:pStyle w:val="TabelTal"/>
              <w:keepNext/>
              <w:spacing w:line="240" w:lineRule="auto"/>
              <w:jc w:val="center"/>
              <w:rPr>
                <w:rFonts w:ascii="Times New Roman" w:hAnsi="Times New Roman"/>
                <w:sz w:val="16"/>
                <w:szCs w:val="16"/>
              </w:rPr>
            </w:pPr>
            <w:r w:rsidRPr="000700D3">
              <w:rPr>
                <w:rFonts w:ascii="Times New Roman" w:hAnsi="Times New Roman"/>
                <w:sz w:val="16"/>
                <w:szCs w:val="16"/>
              </w:rPr>
              <w:t>2014</w:t>
            </w:r>
          </w:p>
        </w:tc>
        <w:tc>
          <w:tcPr>
            <w:tcW w:w="455" w:type="pct"/>
            <w:tcBorders>
              <w:left w:val="single" w:sz="4" w:space="0" w:color="auto"/>
              <w:bottom w:val="single" w:sz="4" w:space="0" w:color="auto"/>
            </w:tcBorders>
            <w:vAlign w:val="bottom"/>
          </w:tcPr>
          <w:p w:rsidR="00113BD9" w:rsidRPr="000700D3" w:rsidRDefault="00113BD9" w:rsidP="00E8186C">
            <w:pPr>
              <w:pStyle w:val="TabelTal"/>
              <w:keepNext/>
              <w:spacing w:line="240" w:lineRule="auto"/>
              <w:jc w:val="center"/>
              <w:rPr>
                <w:rFonts w:ascii="Times New Roman" w:hAnsi="Times New Roman"/>
                <w:sz w:val="16"/>
                <w:szCs w:val="16"/>
              </w:rPr>
            </w:pPr>
            <w:r w:rsidRPr="000700D3">
              <w:rPr>
                <w:rFonts w:ascii="Times New Roman" w:hAnsi="Times New Roman"/>
                <w:sz w:val="16"/>
                <w:szCs w:val="16"/>
              </w:rPr>
              <w:t>2015 og senere år</w:t>
            </w:r>
          </w:p>
        </w:tc>
        <w:tc>
          <w:tcPr>
            <w:tcW w:w="427" w:type="pct"/>
            <w:tcBorders>
              <w:left w:val="single" w:sz="4" w:space="0" w:color="auto"/>
              <w:bottom w:val="single" w:sz="4" w:space="0" w:color="auto"/>
            </w:tcBorders>
            <w:vAlign w:val="bottom"/>
          </w:tcPr>
          <w:p w:rsidR="00113BD9" w:rsidRPr="000700D3" w:rsidRDefault="00113BD9" w:rsidP="00E8186C">
            <w:pPr>
              <w:pStyle w:val="TabelTal"/>
              <w:keepNext/>
              <w:spacing w:line="240" w:lineRule="auto"/>
              <w:jc w:val="left"/>
              <w:rPr>
                <w:rFonts w:ascii="Times New Roman" w:hAnsi="Times New Roman"/>
                <w:sz w:val="16"/>
                <w:szCs w:val="16"/>
              </w:rPr>
            </w:pPr>
          </w:p>
          <w:p w:rsidR="00113BD9" w:rsidRPr="000700D3" w:rsidRDefault="00113BD9" w:rsidP="00E8186C">
            <w:pPr>
              <w:pStyle w:val="TabelTal"/>
              <w:keepNext/>
              <w:spacing w:line="240" w:lineRule="auto"/>
              <w:jc w:val="center"/>
              <w:rPr>
                <w:rFonts w:ascii="Times New Roman" w:hAnsi="Times New Roman"/>
                <w:sz w:val="16"/>
                <w:szCs w:val="16"/>
              </w:rPr>
            </w:pPr>
            <w:r w:rsidRPr="000700D3">
              <w:rPr>
                <w:rFonts w:ascii="Times New Roman" w:hAnsi="Times New Roman"/>
                <w:sz w:val="16"/>
                <w:szCs w:val="16"/>
              </w:rPr>
              <w:t>2013</w:t>
            </w:r>
          </w:p>
        </w:tc>
        <w:tc>
          <w:tcPr>
            <w:tcW w:w="427" w:type="pct"/>
            <w:tcBorders>
              <w:left w:val="single" w:sz="4" w:space="0" w:color="auto"/>
              <w:bottom w:val="single" w:sz="4" w:space="0" w:color="auto"/>
            </w:tcBorders>
            <w:vAlign w:val="bottom"/>
          </w:tcPr>
          <w:p w:rsidR="00113BD9" w:rsidRPr="000700D3" w:rsidRDefault="00113BD9" w:rsidP="00E8186C">
            <w:pPr>
              <w:pStyle w:val="TabelTal"/>
              <w:keepNext/>
              <w:spacing w:line="240" w:lineRule="auto"/>
              <w:jc w:val="center"/>
              <w:rPr>
                <w:rFonts w:ascii="Times New Roman" w:hAnsi="Times New Roman"/>
                <w:sz w:val="16"/>
                <w:szCs w:val="16"/>
              </w:rPr>
            </w:pPr>
            <w:r w:rsidRPr="000700D3">
              <w:rPr>
                <w:rFonts w:ascii="Times New Roman" w:hAnsi="Times New Roman"/>
                <w:sz w:val="16"/>
                <w:szCs w:val="16"/>
              </w:rPr>
              <w:t>2014</w:t>
            </w:r>
          </w:p>
        </w:tc>
        <w:tc>
          <w:tcPr>
            <w:tcW w:w="421" w:type="pct"/>
            <w:tcBorders>
              <w:left w:val="single" w:sz="4" w:space="0" w:color="auto"/>
              <w:bottom w:val="single" w:sz="4" w:space="0" w:color="auto"/>
            </w:tcBorders>
            <w:vAlign w:val="bottom"/>
          </w:tcPr>
          <w:p w:rsidR="00113BD9" w:rsidRPr="000700D3" w:rsidRDefault="00113BD9" w:rsidP="00E8186C">
            <w:pPr>
              <w:pStyle w:val="TabelTal"/>
              <w:keepNext/>
              <w:spacing w:line="240" w:lineRule="auto"/>
              <w:jc w:val="center"/>
              <w:rPr>
                <w:rFonts w:ascii="Times New Roman" w:hAnsi="Times New Roman"/>
                <w:sz w:val="16"/>
                <w:szCs w:val="16"/>
              </w:rPr>
            </w:pPr>
            <w:r w:rsidRPr="000700D3">
              <w:rPr>
                <w:rFonts w:ascii="Times New Roman" w:hAnsi="Times New Roman"/>
                <w:sz w:val="16"/>
                <w:szCs w:val="16"/>
              </w:rPr>
              <w:t>Varig virkning</w:t>
            </w:r>
          </w:p>
        </w:tc>
      </w:tr>
      <w:tr w:rsidR="00113BD9" w:rsidRPr="00815D67" w:rsidTr="00E8186C">
        <w:tc>
          <w:tcPr>
            <w:tcW w:w="2363" w:type="pct"/>
            <w:tcBorders>
              <w:right w:val="single" w:sz="4" w:space="0" w:color="auto"/>
            </w:tcBorders>
            <w:shd w:val="clear" w:color="auto" w:fill="auto"/>
            <w:tcMar>
              <w:left w:w="0" w:type="dxa"/>
              <w:right w:w="0" w:type="dxa"/>
            </w:tcMar>
            <w:vAlign w:val="center"/>
          </w:tcPr>
          <w:p w:rsidR="00113BD9" w:rsidRPr="000700D3" w:rsidRDefault="00113BD9" w:rsidP="00E164D8">
            <w:pPr>
              <w:pStyle w:val="Normal-Tabeltekst"/>
              <w:keepNext/>
              <w:spacing w:line="240" w:lineRule="auto"/>
              <w:rPr>
                <w:rFonts w:ascii="Times New Roman" w:hAnsi="Times New Roman"/>
                <w:i/>
                <w:sz w:val="16"/>
                <w:szCs w:val="16"/>
                <w:lang w:eastAsia="da-DK"/>
              </w:rPr>
            </w:pPr>
            <w:r w:rsidRPr="000700D3">
              <w:rPr>
                <w:rFonts w:ascii="Times New Roman" w:hAnsi="Times New Roman"/>
                <w:i/>
                <w:sz w:val="16"/>
                <w:szCs w:val="16"/>
              </w:rPr>
              <w:t xml:space="preserve">Umiddelbar </w:t>
            </w:r>
            <w:r w:rsidR="00244C79">
              <w:rPr>
                <w:rFonts w:ascii="Times New Roman" w:hAnsi="Times New Roman"/>
                <w:i/>
                <w:sz w:val="16"/>
                <w:szCs w:val="16"/>
              </w:rPr>
              <w:t>merudgift</w:t>
            </w:r>
          </w:p>
        </w:tc>
        <w:tc>
          <w:tcPr>
            <w:tcW w:w="454" w:type="pct"/>
            <w:tcBorders>
              <w:left w:val="single" w:sz="4" w:space="0" w:color="auto"/>
            </w:tcBorders>
            <w:shd w:val="clear" w:color="auto" w:fill="auto"/>
            <w:tcMar>
              <w:top w:w="28" w:type="dxa"/>
              <w:left w:w="113" w:type="dxa"/>
              <w:right w:w="113" w:type="dxa"/>
            </w:tcMar>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p>
        </w:tc>
        <w:tc>
          <w:tcPr>
            <w:tcW w:w="454" w:type="pct"/>
            <w:tcBorders>
              <w:left w:val="single" w:sz="4" w:space="0" w:color="auto"/>
            </w:tcBorders>
            <w:shd w:val="clear" w:color="auto" w:fill="auto"/>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p>
        </w:tc>
        <w:tc>
          <w:tcPr>
            <w:tcW w:w="455" w:type="pct"/>
            <w:tcBorders>
              <w:left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p>
        </w:tc>
        <w:tc>
          <w:tcPr>
            <w:tcW w:w="427" w:type="pct"/>
            <w:tcBorders>
              <w:left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p>
        </w:tc>
        <w:tc>
          <w:tcPr>
            <w:tcW w:w="427" w:type="pct"/>
            <w:tcBorders>
              <w:left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p>
        </w:tc>
        <w:tc>
          <w:tcPr>
            <w:tcW w:w="421" w:type="pct"/>
            <w:tcBorders>
              <w:left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p>
        </w:tc>
      </w:tr>
      <w:tr w:rsidR="00113BD9" w:rsidRPr="00815D67" w:rsidTr="00E8186C">
        <w:tc>
          <w:tcPr>
            <w:tcW w:w="2363" w:type="pct"/>
            <w:tcBorders>
              <w:right w:val="single" w:sz="4" w:space="0" w:color="auto"/>
            </w:tcBorders>
            <w:shd w:val="clear" w:color="auto" w:fill="auto"/>
            <w:tcMar>
              <w:left w:w="0" w:type="dxa"/>
              <w:right w:w="0" w:type="dxa"/>
            </w:tcMar>
            <w:vAlign w:val="center"/>
          </w:tcPr>
          <w:p w:rsidR="00113BD9" w:rsidRPr="000700D3" w:rsidRDefault="00244C79" w:rsidP="00E164D8">
            <w:pPr>
              <w:pStyle w:val="Normal-Tabeltekst"/>
              <w:keepNext/>
              <w:spacing w:line="240" w:lineRule="auto"/>
              <w:rPr>
                <w:rFonts w:ascii="Times New Roman" w:hAnsi="Times New Roman"/>
                <w:sz w:val="16"/>
                <w:szCs w:val="16"/>
              </w:rPr>
            </w:pPr>
            <w:r>
              <w:rPr>
                <w:rFonts w:ascii="Times New Roman" w:hAnsi="Times New Roman"/>
                <w:sz w:val="16"/>
                <w:szCs w:val="16"/>
              </w:rPr>
              <w:t>Ændret anvendelse</w:t>
            </w:r>
            <w:r w:rsidR="00113BD9" w:rsidRPr="000700D3">
              <w:rPr>
                <w:rFonts w:ascii="Times New Roman" w:hAnsi="Times New Roman"/>
                <w:sz w:val="16"/>
                <w:szCs w:val="16"/>
              </w:rPr>
              <w:t xml:space="preserve"> af optjeningsprincippet</w:t>
            </w:r>
          </w:p>
        </w:tc>
        <w:tc>
          <w:tcPr>
            <w:tcW w:w="454" w:type="pct"/>
            <w:tcBorders>
              <w:left w:val="single" w:sz="4" w:space="0" w:color="auto"/>
            </w:tcBorders>
            <w:shd w:val="clear" w:color="auto" w:fill="auto"/>
            <w:tcMar>
              <w:top w:w="28" w:type="dxa"/>
              <w:left w:w="113" w:type="dxa"/>
              <w:right w:w="113" w:type="dxa"/>
            </w:tcMar>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-10</w:t>
            </w:r>
          </w:p>
        </w:tc>
        <w:tc>
          <w:tcPr>
            <w:tcW w:w="454" w:type="pct"/>
            <w:tcBorders>
              <w:left w:val="single" w:sz="4" w:space="0" w:color="auto"/>
            </w:tcBorders>
            <w:shd w:val="clear" w:color="auto" w:fill="auto"/>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-20</w:t>
            </w:r>
          </w:p>
        </w:tc>
        <w:tc>
          <w:tcPr>
            <w:tcW w:w="455" w:type="pct"/>
            <w:tcBorders>
              <w:left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-20</w:t>
            </w:r>
          </w:p>
        </w:tc>
        <w:tc>
          <w:tcPr>
            <w:tcW w:w="427" w:type="pct"/>
            <w:tcBorders>
              <w:left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Pr>
                <w:rFonts w:ascii="Times New Roman" w:hAnsi="Times New Roman"/>
                <w:color w:val="000000"/>
                <w:sz w:val="16"/>
                <w:szCs w:val="16"/>
              </w:rPr>
              <w:t>-10</w:t>
            </w:r>
          </w:p>
        </w:tc>
        <w:tc>
          <w:tcPr>
            <w:tcW w:w="427" w:type="pct"/>
            <w:tcBorders>
              <w:left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Pr>
                <w:rFonts w:ascii="Times New Roman" w:hAnsi="Times New Roman"/>
                <w:color w:val="000000"/>
                <w:sz w:val="16"/>
                <w:szCs w:val="16"/>
              </w:rPr>
              <w:t>-20</w:t>
            </w:r>
          </w:p>
        </w:tc>
        <w:tc>
          <w:tcPr>
            <w:tcW w:w="421" w:type="pct"/>
            <w:tcBorders>
              <w:left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w:t>
            </w:r>
          </w:p>
        </w:tc>
      </w:tr>
      <w:tr w:rsidR="00113BD9" w:rsidRPr="00815D67" w:rsidTr="00E8186C">
        <w:tc>
          <w:tcPr>
            <w:tcW w:w="2363" w:type="pct"/>
            <w:tcBorders>
              <w:bottom w:val="single" w:sz="4" w:space="0" w:color="auto"/>
              <w:right w:val="single" w:sz="4" w:space="0" w:color="auto"/>
            </w:tcBorders>
            <w:shd w:val="clear" w:color="auto" w:fill="auto"/>
            <w:tcMar>
              <w:left w:w="0" w:type="dxa"/>
              <w:right w:w="0" w:type="dxa"/>
            </w:tcMar>
            <w:vAlign w:val="center"/>
          </w:tcPr>
          <w:p w:rsidR="00113BD9" w:rsidRPr="000700D3" w:rsidRDefault="00113BD9" w:rsidP="00E8186C">
            <w:pPr>
              <w:pStyle w:val="Normal-Tabeltekst"/>
              <w:keepNext/>
              <w:spacing w:line="240" w:lineRule="auto"/>
              <w:rPr>
                <w:rFonts w:ascii="Times New Roman" w:hAnsi="Times New Roman"/>
                <w:sz w:val="16"/>
                <w:szCs w:val="16"/>
              </w:rPr>
            </w:pPr>
            <w:r w:rsidRPr="000700D3">
              <w:rPr>
                <w:rFonts w:ascii="Times New Roman" w:hAnsi="Times New Roman"/>
                <w:sz w:val="16"/>
                <w:szCs w:val="16"/>
              </w:rPr>
              <w:t>Genoptagelsessager</w:t>
            </w:r>
          </w:p>
        </w:tc>
        <w:tc>
          <w:tcPr>
            <w:tcW w:w="454" w:type="pct"/>
            <w:tcBorders>
              <w:left w:val="single" w:sz="4" w:space="0" w:color="auto"/>
              <w:bottom w:val="single" w:sz="4" w:space="0" w:color="auto"/>
            </w:tcBorders>
            <w:shd w:val="clear" w:color="auto" w:fill="auto"/>
            <w:tcMar>
              <w:top w:w="28" w:type="dxa"/>
              <w:left w:w="113" w:type="dxa"/>
              <w:right w:w="113" w:type="dxa"/>
            </w:tcMar>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0</w:t>
            </w:r>
          </w:p>
        </w:tc>
        <w:tc>
          <w:tcPr>
            <w:tcW w:w="454" w:type="pct"/>
            <w:tcBorders>
              <w:left w:val="single" w:sz="4" w:space="0" w:color="auto"/>
              <w:bottom w:val="single" w:sz="4" w:space="0" w:color="auto"/>
            </w:tcBorders>
            <w:shd w:val="clear" w:color="auto" w:fill="auto"/>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-20</w:t>
            </w:r>
          </w:p>
        </w:tc>
        <w:tc>
          <w:tcPr>
            <w:tcW w:w="455" w:type="pct"/>
            <w:tcBorders>
              <w:left w:val="single" w:sz="4" w:space="0" w:color="auto"/>
              <w:bottom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0</w:t>
            </w:r>
          </w:p>
        </w:tc>
        <w:tc>
          <w:tcPr>
            <w:tcW w:w="427" w:type="pct"/>
            <w:tcBorders>
              <w:left w:val="single" w:sz="4" w:space="0" w:color="auto"/>
              <w:bottom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427" w:type="pct"/>
            <w:tcBorders>
              <w:left w:val="single" w:sz="4" w:space="0" w:color="auto"/>
              <w:bottom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Pr>
                <w:rFonts w:ascii="Times New Roman" w:hAnsi="Times New Roman"/>
                <w:color w:val="000000"/>
                <w:sz w:val="16"/>
                <w:szCs w:val="16"/>
              </w:rPr>
              <w:t>-20</w:t>
            </w:r>
          </w:p>
        </w:tc>
        <w:tc>
          <w:tcPr>
            <w:tcW w:w="421" w:type="pct"/>
            <w:tcBorders>
              <w:left w:val="single" w:sz="4" w:space="0" w:color="auto"/>
              <w:bottom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w:t>
            </w:r>
          </w:p>
        </w:tc>
      </w:tr>
      <w:tr w:rsidR="00113BD9" w:rsidRPr="00815D67" w:rsidTr="00E8186C">
        <w:tc>
          <w:tcPr>
            <w:tcW w:w="2363" w:type="pct"/>
            <w:tcBorders>
              <w:top w:val="single" w:sz="4" w:space="0" w:color="auto"/>
              <w:right w:val="single" w:sz="4" w:space="0" w:color="auto"/>
            </w:tcBorders>
            <w:shd w:val="clear" w:color="auto" w:fill="auto"/>
            <w:tcMar>
              <w:left w:w="0" w:type="dxa"/>
              <w:right w:w="0" w:type="dxa"/>
            </w:tcMar>
            <w:vAlign w:val="center"/>
          </w:tcPr>
          <w:p w:rsidR="00113BD9" w:rsidRPr="000700D3" w:rsidRDefault="00113BD9" w:rsidP="00E8186C">
            <w:pPr>
              <w:pStyle w:val="Normal-Tabeltekst"/>
              <w:keepNext/>
              <w:spacing w:line="240" w:lineRule="auto"/>
              <w:rPr>
                <w:rFonts w:ascii="Times New Roman" w:hAnsi="Times New Roman"/>
                <w:sz w:val="16"/>
                <w:szCs w:val="16"/>
              </w:rPr>
            </w:pPr>
            <w:r w:rsidRPr="000700D3">
              <w:rPr>
                <w:rFonts w:ascii="Times New Roman" w:hAnsi="Times New Roman"/>
                <w:sz w:val="16"/>
                <w:szCs w:val="16"/>
              </w:rPr>
              <w:t>I alt, før tilbageløb og adfærd</w:t>
            </w:r>
          </w:p>
        </w:tc>
        <w:tc>
          <w:tcPr>
            <w:tcW w:w="454" w:type="pct"/>
            <w:tcBorders>
              <w:top w:val="single" w:sz="4" w:space="0" w:color="auto"/>
              <w:left w:val="single" w:sz="4" w:space="0" w:color="auto"/>
            </w:tcBorders>
            <w:shd w:val="clear" w:color="auto" w:fill="auto"/>
            <w:tcMar>
              <w:top w:w="28" w:type="dxa"/>
              <w:left w:w="113" w:type="dxa"/>
              <w:right w:w="113" w:type="dxa"/>
            </w:tcMar>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-10</w:t>
            </w:r>
          </w:p>
        </w:tc>
        <w:tc>
          <w:tcPr>
            <w:tcW w:w="454" w:type="pct"/>
            <w:tcBorders>
              <w:top w:val="single" w:sz="4" w:space="0" w:color="auto"/>
              <w:left w:val="single" w:sz="4" w:space="0" w:color="auto"/>
            </w:tcBorders>
            <w:shd w:val="clear" w:color="auto" w:fill="auto"/>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-40</w:t>
            </w:r>
          </w:p>
        </w:tc>
        <w:tc>
          <w:tcPr>
            <w:tcW w:w="455" w:type="pct"/>
            <w:tcBorders>
              <w:top w:val="single" w:sz="4" w:space="0" w:color="auto"/>
              <w:left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-20</w:t>
            </w:r>
          </w:p>
        </w:tc>
        <w:tc>
          <w:tcPr>
            <w:tcW w:w="427" w:type="pct"/>
            <w:tcBorders>
              <w:top w:val="single" w:sz="4" w:space="0" w:color="auto"/>
              <w:left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-10</w:t>
            </w:r>
          </w:p>
        </w:tc>
        <w:tc>
          <w:tcPr>
            <w:tcW w:w="427" w:type="pct"/>
            <w:tcBorders>
              <w:top w:val="single" w:sz="4" w:space="0" w:color="auto"/>
              <w:left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-40</w:t>
            </w:r>
          </w:p>
        </w:tc>
        <w:tc>
          <w:tcPr>
            <w:tcW w:w="421" w:type="pct"/>
            <w:tcBorders>
              <w:top w:val="single" w:sz="4" w:space="0" w:color="auto"/>
              <w:left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p>
        </w:tc>
      </w:tr>
      <w:tr w:rsidR="00113BD9" w:rsidRPr="00815D67" w:rsidTr="00E8186C">
        <w:tc>
          <w:tcPr>
            <w:tcW w:w="2363" w:type="pct"/>
            <w:tcBorders>
              <w:bottom w:val="single" w:sz="4" w:space="0" w:color="auto"/>
              <w:right w:val="single" w:sz="4" w:space="0" w:color="auto"/>
            </w:tcBorders>
            <w:shd w:val="clear" w:color="auto" w:fill="auto"/>
            <w:tcMar>
              <w:left w:w="0" w:type="dxa"/>
              <w:right w:w="0" w:type="dxa"/>
            </w:tcMar>
            <w:vAlign w:val="center"/>
          </w:tcPr>
          <w:p w:rsidR="00113BD9" w:rsidRPr="000700D3" w:rsidRDefault="00244C79" w:rsidP="00E164D8">
            <w:pPr>
              <w:pStyle w:val="TabelTal"/>
              <w:keepNext/>
              <w:spacing w:line="240" w:lineRule="auto"/>
              <w:ind w:right="-64"/>
              <w:jc w:val="left"/>
              <w:rPr>
                <w:rFonts w:ascii="Times New Roman" w:hAnsi="Times New Roman"/>
                <w:sz w:val="16"/>
                <w:szCs w:val="16"/>
              </w:rPr>
            </w:pPr>
            <w:r>
              <w:rPr>
                <w:rFonts w:ascii="Times New Roman" w:hAnsi="Times New Roman"/>
                <w:sz w:val="16"/>
                <w:szCs w:val="16"/>
              </w:rPr>
              <w:t>Merudgift</w:t>
            </w:r>
            <w:r w:rsidR="00113BD9" w:rsidRPr="000700D3">
              <w:rPr>
                <w:rFonts w:ascii="Times New Roman" w:hAnsi="Times New Roman"/>
                <w:sz w:val="16"/>
                <w:szCs w:val="16"/>
              </w:rPr>
              <w:t xml:space="preserve"> efter tilbageløb og adfærd</w:t>
            </w:r>
          </w:p>
        </w:tc>
        <w:tc>
          <w:tcPr>
            <w:tcW w:w="454" w:type="pct"/>
            <w:tcBorders>
              <w:left w:val="single" w:sz="4" w:space="0" w:color="auto"/>
              <w:bottom w:val="single" w:sz="4" w:space="0" w:color="auto"/>
            </w:tcBorders>
            <w:shd w:val="clear" w:color="auto" w:fill="auto"/>
            <w:tcMar>
              <w:top w:w="28" w:type="dxa"/>
              <w:left w:w="113" w:type="dxa"/>
              <w:right w:w="113" w:type="dxa"/>
            </w:tcMar>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-8</w:t>
            </w:r>
          </w:p>
        </w:tc>
        <w:tc>
          <w:tcPr>
            <w:tcW w:w="454" w:type="pct"/>
            <w:tcBorders>
              <w:left w:val="single" w:sz="4" w:space="0" w:color="auto"/>
              <w:bottom w:val="single" w:sz="4" w:space="0" w:color="auto"/>
            </w:tcBorders>
            <w:shd w:val="clear" w:color="auto" w:fill="auto"/>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-30</w:t>
            </w:r>
          </w:p>
        </w:tc>
        <w:tc>
          <w:tcPr>
            <w:tcW w:w="455" w:type="pct"/>
            <w:tcBorders>
              <w:left w:val="single" w:sz="4" w:space="0" w:color="auto"/>
              <w:bottom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-15</w:t>
            </w:r>
          </w:p>
        </w:tc>
        <w:tc>
          <w:tcPr>
            <w:tcW w:w="427" w:type="pct"/>
            <w:tcBorders>
              <w:left w:val="single" w:sz="4" w:space="0" w:color="auto"/>
              <w:bottom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w:t>
            </w:r>
          </w:p>
        </w:tc>
        <w:tc>
          <w:tcPr>
            <w:tcW w:w="427" w:type="pct"/>
            <w:tcBorders>
              <w:left w:val="single" w:sz="4" w:space="0" w:color="auto"/>
              <w:bottom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w:t>
            </w:r>
          </w:p>
        </w:tc>
        <w:tc>
          <w:tcPr>
            <w:tcW w:w="421" w:type="pct"/>
            <w:tcBorders>
              <w:left w:val="single" w:sz="4" w:space="0" w:color="auto"/>
              <w:bottom w:val="single" w:sz="4" w:space="0" w:color="auto"/>
            </w:tcBorders>
            <w:vAlign w:val="bottom"/>
          </w:tcPr>
          <w:p w:rsidR="00113BD9" w:rsidRPr="000700D3" w:rsidRDefault="00113BD9" w:rsidP="00E8186C">
            <w:pPr>
              <w:pStyle w:val="Normal-Tabeltal"/>
              <w:keepNext/>
              <w:tabs>
                <w:tab w:val="clear" w:pos="340"/>
              </w:tabs>
              <w:spacing w:line="240" w:lineRule="auto"/>
              <w:rPr>
                <w:rFonts w:ascii="Times New Roman" w:hAnsi="Times New Roman"/>
                <w:color w:val="000000"/>
                <w:sz w:val="16"/>
                <w:szCs w:val="16"/>
              </w:rPr>
            </w:pPr>
            <w:r w:rsidRPr="000700D3">
              <w:rPr>
                <w:rFonts w:ascii="Times New Roman" w:hAnsi="Times New Roman"/>
                <w:color w:val="000000"/>
                <w:sz w:val="16"/>
                <w:szCs w:val="16"/>
              </w:rPr>
              <w:t>-15</w:t>
            </w:r>
          </w:p>
        </w:tc>
      </w:tr>
    </w:tbl>
    <w:p w:rsidR="00F0670E" w:rsidRPr="00910C6A" w:rsidRDefault="00F0670E" w:rsidP="00F0670E">
      <w:pPr>
        <w:rPr>
          <w:lang w:val="da-DK"/>
        </w:rPr>
      </w:pPr>
    </w:p>
    <w:p w:rsidR="000268DF" w:rsidRPr="000268DF" w:rsidRDefault="00CA438E" w:rsidP="000268DF">
      <w:pPr>
        <w:rPr>
          <w:i/>
          <w:iCs/>
          <w:lang w:val="da-DK"/>
        </w:rPr>
      </w:pPr>
      <w:r>
        <w:rPr>
          <w:i/>
          <w:iCs/>
          <w:lang w:val="da-DK"/>
        </w:rPr>
        <w:t>6</w:t>
      </w:r>
      <w:r w:rsidR="000268DF" w:rsidRPr="000268DF">
        <w:rPr>
          <w:i/>
          <w:iCs/>
          <w:lang w:val="da-DK"/>
        </w:rPr>
        <w:t xml:space="preserve">. Administrative konsekvenser for det offentlige </w:t>
      </w:r>
    </w:p>
    <w:p w:rsidR="00BB7C71" w:rsidRDefault="00F15876" w:rsidP="000268DF">
      <w:pPr>
        <w:rPr>
          <w:lang w:val="da-DK"/>
        </w:rPr>
      </w:pPr>
      <w:r>
        <w:rPr>
          <w:lang w:val="da-DK"/>
        </w:rPr>
        <w:t xml:space="preserve">En ændret anvendelse af optjeningsprincippet under iagttagelse af sammenlægningsprincippet skønnes at koste 0,5 mio. kr. årligt i øget administration. </w:t>
      </w:r>
      <w:r w:rsidR="00BB7C71">
        <w:rPr>
          <w:lang w:val="da-DK"/>
        </w:rPr>
        <w:t xml:space="preserve">Administrationen af optjeningsprincippet er allerede ændret. </w:t>
      </w:r>
      <w:r>
        <w:rPr>
          <w:lang w:val="da-DK"/>
        </w:rPr>
        <w:t>Derfor skønnes lovforslaget ikke i sig selv at medføre administrative konsekvenser for det offentlige.</w:t>
      </w:r>
    </w:p>
    <w:p w:rsidR="003E09F4" w:rsidRPr="000268DF" w:rsidRDefault="003E09F4" w:rsidP="000268DF">
      <w:pPr>
        <w:rPr>
          <w:lang w:val="da-DK"/>
        </w:rPr>
      </w:pPr>
    </w:p>
    <w:p w:rsidR="000268DF" w:rsidRPr="000268DF" w:rsidRDefault="00CA438E" w:rsidP="000268DF">
      <w:pPr>
        <w:rPr>
          <w:i/>
          <w:iCs/>
          <w:lang w:val="da-DK"/>
        </w:rPr>
      </w:pPr>
      <w:r>
        <w:rPr>
          <w:i/>
          <w:iCs/>
          <w:lang w:val="da-DK"/>
        </w:rPr>
        <w:t>7</w:t>
      </w:r>
      <w:r w:rsidR="000268DF" w:rsidRPr="000268DF">
        <w:rPr>
          <w:i/>
          <w:iCs/>
          <w:lang w:val="da-DK"/>
        </w:rPr>
        <w:t xml:space="preserve">. Økonomiske konsekvenser for erhvervslivet </w:t>
      </w:r>
    </w:p>
    <w:p w:rsidR="000268DF" w:rsidRDefault="00847A32" w:rsidP="000268DF">
      <w:pPr>
        <w:rPr>
          <w:lang w:val="da-DK"/>
        </w:rPr>
      </w:pPr>
      <w:r>
        <w:rPr>
          <w:lang w:val="da-DK"/>
        </w:rPr>
        <w:t>Lovforslaget indebærer ikke økonomiske konsekvenser for erhvervslivet.</w:t>
      </w:r>
    </w:p>
    <w:p w:rsidR="00847A32" w:rsidRPr="000268DF" w:rsidRDefault="00847A32" w:rsidP="000268DF">
      <w:pPr>
        <w:rPr>
          <w:lang w:val="da-DK"/>
        </w:rPr>
      </w:pPr>
    </w:p>
    <w:p w:rsidR="00EE0F57" w:rsidRDefault="00EE0F57" w:rsidP="000268DF">
      <w:pPr>
        <w:rPr>
          <w:i/>
          <w:iCs/>
          <w:lang w:val="da-DK"/>
        </w:rPr>
      </w:pPr>
    </w:p>
    <w:p w:rsidR="000268DF" w:rsidRPr="000268DF" w:rsidRDefault="00CA438E" w:rsidP="000268DF">
      <w:pPr>
        <w:rPr>
          <w:i/>
          <w:iCs/>
          <w:lang w:val="da-DK"/>
        </w:rPr>
      </w:pPr>
      <w:r>
        <w:rPr>
          <w:i/>
          <w:iCs/>
          <w:lang w:val="da-DK"/>
        </w:rPr>
        <w:t>8</w:t>
      </w:r>
      <w:r w:rsidR="000268DF" w:rsidRPr="000268DF">
        <w:rPr>
          <w:i/>
          <w:iCs/>
          <w:lang w:val="da-DK"/>
        </w:rPr>
        <w:t xml:space="preserve">. Administrative konsekvenser for erhvervslivet </w:t>
      </w:r>
    </w:p>
    <w:p w:rsidR="000268DF" w:rsidRDefault="00847A32" w:rsidP="000268DF">
      <w:pPr>
        <w:rPr>
          <w:lang w:val="da-DK"/>
        </w:rPr>
      </w:pPr>
      <w:r>
        <w:rPr>
          <w:lang w:val="da-DK"/>
        </w:rPr>
        <w:t>Lovforslaget indebærer ikke administrative konsekvenser for erhvervslivet.</w:t>
      </w:r>
    </w:p>
    <w:p w:rsidR="00847A32" w:rsidRPr="000268DF" w:rsidRDefault="00847A32" w:rsidP="000268DF">
      <w:pPr>
        <w:rPr>
          <w:lang w:val="da-DK"/>
        </w:rPr>
      </w:pPr>
    </w:p>
    <w:p w:rsidR="000268DF" w:rsidRPr="000268DF" w:rsidRDefault="00CA438E" w:rsidP="000268DF">
      <w:pPr>
        <w:rPr>
          <w:i/>
          <w:iCs/>
          <w:lang w:val="da-DK"/>
        </w:rPr>
      </w:pPr>
      <w:r>
        <w:rPr>
          <w:i/>
          <w:iCs/>
          <w:lang w:val="da-DK"/>
        </w:rPr>
        <w:t>9</w:t>
      </w:r>
      <w:r w:rsidR="000268DF" w:rsidRPr="000268DF">
        <w:rPr>
          <w:i/>
          <w:iCs/>
          <w:lang w:val="da-DK"/>
        </w:rPr>
        <w:t xml:space="preserve">. Administrative konsekvenser for borgerne  </w:t>
      </w:r>
    </w:p>
    <w:p w:rsidR="000268DF" w:rsidRDefault="00772EB2" w:rsidP="000268DF">
      <w:pPr>
        <w:rPr>
          <w:lang w:val="da-DK"/>
        </w:rPr>
      </w:pPr>
      <w:r w:rsidRPr="00772EB2">
        <w:rPr>
          <w:lang w:val="da-DK"/>
        </w:rPr>
        <w:t>Administrationen af optjeningsprincippet er allerede ændret. Derfor skønnes lovforslaget ikke at medføre administrative konsekvenser for</w:t>
      </w:r>
      <w:r>
        <w:rPr>
          <w:lang w:val="da-DK"/>
        </w:rPr>
        <w:t xml:space="preserve"> borgerne</w:t>
      </w:r>
      <w:r w:rsidR="00E54C5D">
        <w:rPr>
          <w:lang w:val="da-DK"/>
        </w:rPr>
        <w:t>.</w:t>
      </w:r>
    </w:p>
    <w:p w:rsidR="00847A32" w:rsidRPr="000268DF" w:rsidRDefault="00847A32" w:rsidP="000268DF">
      <w:pPr>
        <w:rPr>
          <w:lang w:val="da-DK"/>
        </w:rPr>
      </w:pPr>
    </w:p>
    <w:p w:rsidR="000268DF" w:rsidRPr="000268DF" w:rsidRDefault="00CA438E" w:rsidP="000268DF">
      <w:pPr>
        <w:rPr>
          <w:i/>
          <w:iCs/>
          <w:lang w:val="da-DK"/>
        </w:rPr>
      </w:pPr>
      <w:r>
        <w:rPr>
          <w:i/>
          <w:iCs/>
          <w:lang w:val="da-DK"/>
        </w:rPr>
        <w:t>10</w:t>
      </w:r>
      <w:r w:rsidR="000268DF" w:rsidRPr="000268DF">
        <w:rPr>
          <w:i/>
          <w:iCs/>
          <w:lang w:val="da-DK"/>
        </w:rPr>
        <w:t>. Miljømæssige konsekvenser</w:t>
      </w:r>
    </w:p>
    <w:p w:rsidR="000268DF" w:rsidRDefault="003E09F4" w:rsidP="000268DF">
      <w:pPr>
        <w:rPr>
          <w:lang w:val="da-DK"/>
        </w:rPr>
      </w:pPr>
      <w:r>
        <w:rPr>
          <w:lang w:val="da-DK"/>
        </w:rPr>
        <w:t>Lovforslaget har ingen miljømæssige konsekvenser.</w:t>
      </w:r>
    </w:p>
    <w:p w:rsidR="003E09F4" w:rsidRPr="000268DF" w:rsidRDefault="003E09F4" w:rsidP="000268DF">
      <w:pPr>
        <w:rPr>
          <w:lang w:val="da-DK"/>
        </w:rPr>
      </w:pPr>
    </w:p>
    <w:p w:rsidR="000268DF" w:rsidRPr="000268DF" w:rsidRDefault="000268DF" w:rsidP="000268DF">
      <w:pPr>
        <w:rPr>
          <w:i/>
          <w:iCs/>
          <w:lang w:val="da-DK"/>
        </w:rPr>
      </w:pPr>
      <w:r w:rsidRPr="000268DF">
        <w:rPr>
          <w:i/>
          <w:iCs/>
          <w:lang w:val="da-DK"/>
        </w:rPr>
        <w:t>1</w:t>
      </w:r>
      <w:r w:rsidR="00CA438E">
        <w:rPr>
          <w:i/>
          <w:iCs/>
          <w:lang w:val="da-DK"/>
        </w:rPr>
        <w:t>1</w:t>
      </w:r>
      <w:r w:rsidRPr="000268DF">
        <w:rPr>
          <w:i/>
          <w:iCs/>
          <w:lang w:val="da-DK"/>
        </w:rPr>
        <w:t>. Forholdet til EU-retten</w:t>
      </w:r>
    </w:p>
    <w:p w:rsidR="00CB1714" w:rsidRDefault="002C20A6" w:rsidP="002C20A6">
      <w:pPr>
        <w:rPr>
          <w:iCs/>
          <w:lang w:val="da-DK"/>
        </w:rPr>
      </w:pPr>
      <w:r w:rsidRPr="002C20A6">
        <w:rPr>
          <w:iCs/>
          <w:lang w:val="da-DK"/>
        </w:rPr>
        <w:t xml:space="preserve">Børne- og ungeydelse samt </w:t>
      </w:r>
      <w:r w:rsidR="00EC717B">
        <w:rPr>
          <w:iCs/>
          <w:lang w:val="da-DK"/>
        </w:rPr>
        <w:t xml:space="preserve">ydelser efter </w:t>
      </w:r>
      <w:r w:rsidRPr="002C20A6">
        <w:rPr>
          <w:iCs/>
          <w:lang w:val="da-DK"/>
        </w:rPr>
        <w:t>børnetilskud</w:t>
      </w:r>
      <w:r w:rsidR="00EC717B">
        <w:rPr>
          <w:iCs/>
          <w:lang w:val="da-DK"/>
        </w:rPr>
        <w:t xml:space="preserve">sloven </w:t>
      </w:r>
      <w:r w:rsidRPr="002C20A6">
        <w:rPr>
          <w:iCs/>
          <w:lang w:val="da-DK"/>
        </w:rPr>
        <w:t xml:space="preserve">er sociale sikringsydelser omfattet af forordning nr. 883/04. </w:t>
      </w:r>
      <w:r>
        <w:rPr>
          <w:iCs/>
          <w:lang w:val="da-DK"/>
        </w:rPr>
        <w:t xml:space="preserve">Forordningen indeholder regler om koordinering af medlemsstaternes sociale sikringsordninger. </w:t>
      </w:r>
    </w:p>
    <w:p w:rsidR="00CB1714" w:rsidRDefault="00CB1714" w:rsidP="002C20A6">
      <w:pPr>
        <w:rPr>
          <w:iCs/>
          <w:lang w:val="da-DK"/>
        </w:rPr>
      </w:pPr>
    </w:p>
    <w:p w:rsidR="002C20A6" w:rsidRDefault="002C20A6" w:rsidP="002C20A6">
      <w:pPr>
        <w:rPr>
          <w:iCs/>
          <w:lang w:val="da-DK"/>
        </w:rPr>
      </w:pPr>
      <w:r>
        <w:rPr>
          <w:iCs/>
          <w:lang w:val="da-DK"/>
        </w:rPr>
        <w:t xml:space="preserve">Efter </w:t>
      </w:r>
      <w:r w:rsidR="001C4F83">
        <w:rPr>
          <w:iCs/>
          <w:lang w:val="da-DK"/>
        </w:rPr>
        <w:t xml:space="preserve">artikel 6 i </w:t>
      </w:r>
      <w:r>
        <w:rPr>
          <w:iCs/>
          <w:lang w:val="da-DK"/>
        </w:rPr>
        <w:t>forordning nr. 883/04</w:t>
      </w:r>
      <w:r w:rsidR="00CB1714">
        <w:rPr>
          <w:iCs/>
          <w:lang w:val="da-DK"/>
        </w:rPr>
        <w:t xml:space="preserve"> gælder</w:t>
      </w:r>
      <w:r w:rsidR="00D35B79">
        <w:rPr>
          <w:iCs/>
          <w:lang w:val="da-DK"/>
        </w:rPr>
        <w:t xml:space="preserve"> </w:t>
      </w:r>
      <w:r w:rsidR="00CB1714">
        <w:rPr>
          <w:iCs/>
          <w:lang w:val="da-DK"/>
        </w:rPr>
        <w:t xml:space="preserve">et sammenlægningsprincip, hvorefter beskæftigelses- og bopælsperioder, der er tilbagelagt efter en anden medlemsstats lovgivning, skal medregnes ved vurderingen af, om der er optjent ret til </w:t>
      </w:r>
      <w:r w:rsidR="0016688B">
        <w:rPr>
          <w:iCs/>
          <w:lang w:val="da-DK"/>
        </w:rPr>
        <w:t>børne- og unge</w:t>
      </w:r>
      <w:r w:rsidR="00CB1714">
        <w:rPr>
          <w:iCs/>
          <w:lang w:val="da-DK"/>
        </w:rPr>
        <w:t>ydelse</w:t>
      </w:r>
      <w:r w:rsidR="0016688B">
        <w:rPr>
          <w:iCs/>
          <w:lang w:val="da-DK"/>
        </w:rPr>
        <w:t>n</w:t>
      </w:r>
      <w:r w:rsidR="00D35B79">
        <w:rPr>
          <w:iCs/>
          <w:lang w:val="da-DK"/>
        </w:rPr>
        <w:t xml:space="preserve"> eller ydelser efter børnetilskudsloven</w:t>
      </w:r>
      <w:r w:rsidR="00CB1714">
        <w:rPr>
          <w:iCs/>
          <w:lang w:val="da-DK"/>
        </w:rPr>
        <w:t xml:space="preserve">. </w:t>
      </w:r>
    </w:p>
    <w:p w:rsidR="00CB1714" w:rsidRDefault="00CB1714" w:rsidP="002C20A6">
      <w:pPr>
        <w:rPr>
          <w:iCs/>
          <w:lang w:val="da-DK"/>
        </w:rPr>
      </w:pPr>
    </w:p>
    <w:p w:rsidR="00CB1714" w:rsidRDefault="00433F67" w:rsidP="002C20A6">
      <w:pPr>
        <w:rPr>
          <w:iCs/>
          <w:lang w:val="da-DK"/>
        </w:rPr>
      </w:pPr>
      <w:r>
        <w:rPr>
          <w:iCs/>
          <w:lang w:val="da-DK"/>
        </w:rPr>
        <w:t xml:space="preserve">Før </w:t>
      </w:r>
      <w:r w:rsidR="00CB1714">
        <w:rPr>
          <w:iCs/>
          <w:lang w:val="da-DK"/>
        </w:rPr>
        <w:t>Kommissionen henvendte sig til regeringen, og</w:t>
      </w:r>
      <w:r>
        <w:rPr>
          <w:iCs/>
          <w:lang w:val="da-DK"/>
        </w:rPr>
        <w:t xml:space="preserve"> før</w:t>
      </w:r>
      <w:r w:rsidR="00CB1714">
        <w:rPr>
          <w:iCs/>
          <w:lang w:val="da-DK"/>
        </w:rPr>
        <w:t xml:space="preserve"> regeringen</w:t>
      </w:r>
      <w:r w:rsidR="00AA4130">
        <w:rPr>
          <w:iCs/>
          <w:lang w:val="da-DK"/>
        </w:rPr>
        <w:t>s juridiske</w:t>
      </w:r>
      <w:r w:rsidR="00CB1714">
        <w:rPr>
          <w:iCs/>
          <w:lang w:val="da-DK"/>
        </w:rPr>
        <w:t xml:space="preserve"> </w:t>
      </w:r>
      <w:r w:rsidR="00C86884">
        <w:rPr>
          <w:iCs/>
          <w:lang w:val="da-DK"/>
        </w:rPr>
        <w:t>vurdering</w:t>
      </w:r>
      <w:r w:rsidR="00CB1714">
        <w:rPr>
          <w:iCs/>
          <w:lang w:val="da-DK"/>
        </w:rPr>
        <w:t>, blev</w:t>
      </w:r>
      <w:r>
        <w:rPr>
          <w:iCs/>
          <w:lang w:val="da-DK"/>
        </w:rPr>
        <w:t xml:space="preserve"> optjeningsprincippet</w:t>
      </w:r>
      <w:r w:rsidR="00CB1714">
        <w:rPr>
          <w:iCs/>
          <w:lang w:val="da-DK"/>
        </w:rPr>
        <w:t xml:space="preserve"> anvendt uden iagttagelse af sammenlægningsprincippet i artikel 6 i forordning nr. 883/04.</w:t>
      </w:r>
    </w:p>
    <w:p w:rsidR="00CB1714" w:rsidRDefault="00CB1714" w:rsidP="002C20A6">
      <w:pPr>
        <w:rPr>
          <w:iCs/>
          <w:lang w:val="da-DK"/>
        </w:rPr>
      </w:pPr>
    </w:p>
    <w:p w:rsidR="00D35B79" w:rsidRDefault="002C20A6" w:rsidP="002C20A6">
      <w:pPr>
        <w:rPr>
          <w:iCs/>
          <w:lang w:val="da-DK"/>
        </w:rPr>
      </w:pPr>
      <w:r w:rsidRPr="002C20A6">
        <w:rPr>
          <w:iCs/>
          <w:lang w:val="da-DK"/>
        </w:rPr>
        <w:t>Når sammenlægningsprincippet i</w:t>
      </w:r>
      <w:r>
        <w:rPr>
          <w:iCs/>
          <w:lang w:val="da-DK"/>
        </w:rPr>
        <w:t xml:space="preserve"> artikel 6 i</w:t>
      </w:r>
      <w:r w:rsidRPr="002C20A6">
        <w:rPr>
          <w:iCs/>
          <w:lang w:val="da-DK"/>
        </w:rPr>
        <w:t xml:space="preserve"> forordning nr. 883/04</w:t>
      </w:r>
      <w:r w:rsidR="00CB1714">
        <w:rPr>
          <w:iCs/>
          <w:lang w:val="da-DK"/>
        </w:rPr>
        <w:t xml:space="preserve"> </w:t>
      </w:r>
      <w:r w:rsidRPr="002C20A6">
        <w:rPr>
          <w:iCs/>
          <w:lang w:val="da-DK"/>
        </w:rPr>
        <w:t xml:space="preserve">finder anvendelse i forhold til optjeningsprincippet for børne- og ungeydelsen og </w:t>
      </w:r>
      <w:r w:rsidR="00EC717B">
        <w:rPr>
          <w:iCs/>
          <w:lang w:val="da-DK"/>
        </w:rPr>
        <w:t>ydelser</w:t>
      </w:r>
      <w:r w:rsidR="009E1C33">
        <w:rPr>
          <w:iCs/>
          <w:lang w:val="da-DK"/>
        </w:rPr>
        <w:t>ne</w:t>
      </w:r>
      <w:r w:rsidR="00EC717B">
        <w:rPr>
          <w:iCs/>
          <w:lang w:val="da-DK"/>
        </w:rPr>
        <w:t xml:space="preserve"> efter </w:t>
      </w:r>
      <w:r w:rsidRPr="002C20A6">
        <w:rPr>
          <w:iCs/>
          <w:lang w:val="da-DK"/>
        </w:rPr>
        <w:t>børnetil</w:t>
      </w:r>
      <w:r w:rsidR="00137FB7">
        <w:rPr>
          <w:iCs/>
          <w:lang w:val="da-DK"/>
        </w:rPr>
        <w:t>skuds</w:t>
      </w:r>
      <w:r w:rsidR="00EC717B">
        <w:rPr>
          <w:iCs/>
          <w:lang w:val="da-DK"/>
        </w:rPr>
        <w:t>loven</w:t>
      </w:r>
      <w:r w:rsidRPr="002C20A6">
        <w:rPr>
          <w:iCs/>
          <w:lang w:val="da-DK"/>
        </w:rPr>
        <w:t xml:space="preserve">, indebærer det en forpligtelse til at medregne beskæftigelses- og bopælsperioder, der er tilbagelagt efter en anden medlemsstats lovgivning, ved vurderingen af, om der er optjent ret til disse ydelser. </w:t>
      </w:r>
    </w:p>
    <w:p w:rsidR="00D35B79" w:rsidRDefault="00D35B79" w:rsidP="002C20A6">
      <w:pPr>
        <w:rPr>
          <w:iCs/>
          <w:lang w:val="da-DK"/>
        </w:rPr>
      </w:pPr>
    </w:p>
    <w:p w:rsidR="00F54504" w:rsidRPr="00F54504" w:rsidRDefault="00F54504" w:rsidP="00F54504">
      <w:pPr>
        <w:rPr>
          <w:iCs/>
          <w:lang w:val="da-DK"/>
        </w:rPr>
      </w:pPr>
      <w:r w:rsidRPr="00F54504">
        <w:rPr>
          <w:iCs/>
          <w:lang w:val="da-DK"/>
        </w:rPr>
        <w:t>De fleste personer omfattet af forordning nr. 883/04 vil have haft bopæl eller beskæftigelse i en medlemsstat i mindst 2 år inden for de seneste 10 år, og de vil således opfylde optjeningsprincippet og have ret til fuld ydelse</w:t>
      </w:r>
      <w:r w:rsidR="001C4F83">
        <w:rPr>
          <w:iCs/>
          <w:lang w:val="da-DK"/>
        </w:rPr>
        <w:t>sudbetaling</w:t>
      </w:r>
      <w:r w:rsidRPr="00F54504">
        <w:rPr>
          <w:iCs/>
          <w:lang w:val="da-DK"/>
        </w:rPr>
        <w:t>, når de øvrige betingelser herfor er opfyldt.</w:t>
      </w:r>
    </w:p>
    <w:p w:rsidR="00F54504" w:rsidRPr="00F54504" w:rsidRDefault="00F54504" w:rsidP="00F54504">
      <w:pPr>
        <w:rPr>
          <w:iCs/>
          <w:lang w:val="da-DK"/>
        </w:rPr>
      </w:pPr>
    </w:p>
    <w:p w:rsidR="0042418C" w:rsidRPr="0042418C" w:rsidRDefault="00F54504" w:rsidP="0042418C">
      <w:pPr>
        <w:rPr>
          <w:iCs/>
          <w:lang w:val="da-DK"/>
        </w:rPr>
      </w:pPr>
      <w:r w:rsidRPr="00F54504">
        <w:rPr>
          <w:iCs/>
          <w:lang w:val="da-DK"/>
        </w:rPr>
        <w:t xml:space="preserve">Da forordning nr. 883/04 har forrang for national lovgivning, er den umiddelbart gældende i Danmark. Lovforslagets formål er således at tilrette lovgivningen, så den klart afspejler forpligtelserne i henhold til </w:t>
      </w:r>
      <w:r w:rsidR="00E63079">
        <w:rPr>
          <w:iCs/>
          <w:lang w:val="da-DK"/>
        </w:rPr>
        <w:t>artikel 6 i forordningen</w:t>
      </w:r>
      <w:r w:rsidRPr="00F54504">
        <w:rPr>
          <w:iCs/>
          <w:lang w:val="da-DK"/>
        </w:rPr>
        <w:t>.</w:t>
      </w:r>
      <w:r w:rsidR="0042418C" w:rsidRPr="00574F8D">
        <w:rPr>
          <w:rFonts w:ascii="Calibri" w:eastAsia="Calibri" w:hAnsi="Calibri" w:cs="Calibri"/>
          <w:color w:val="1F497D"/>
          <w:sz w:val="22"/>
          <w:szCs w:val="22"/>
          <w:lang w:val="da-DK"/>
        </w:rPr>
        <w:t xml:space="preserve"> </w:t>
      </w:r>
      <w:r w:rsidR="0042418C" w:rsidRPr="0042418C">
        <w:rPr>
          <w:iCs/>
          <w:lang w:val="da-DK"/>
        </w:rPr>
        <w:t>De øvrige bestemmelser i forordningen berøres således ikke af dette lovforslag.</w:t>
      </w:r>
    </w:p>
    <w:p w:rsidR="00F54504" w:rsidRPr="00F54504" w:rsidRDefault="00F54504" w:rsidP="00F54504">
      <w:pPr>
        <w:rPr>
          <w:iCs/>
          <w:lang w:val="da-DK"/>
        </w:rPr>
      </w:pPr>
    </w:p>
    <w:p w:rsidR="0016688B" w:rsidRPr="000268DF" w:rsidRDefault="0016688B" w:rsidP="000268DF">
      <w:pPr>
        <w:rPr>
          <w:lang w:val="da-DK"/>
        </w:rPr>
      </w:pPr>
    </w:p>
    <w:p w:rsidR="000268DF" w:rsidRDefault="000268DF" w:rsidP="000268DF">
      <w:pPr>
        <w:spacing w:line="288" w:lineRule="auto"/>
        <w:rPr>
          <w:i/>
          <w:iCs/>
          <w:lang w:val="da-DK"/>
        </w:rPr>
      </w:pPr>
      <w:r w:rsidRPr="000268DF">
        <w:rPr>
          <w:i/>
          <w:iCs/>
          <w:lang w:val="da-DK"/>
        </w:rPr>
        <w:t>1</w:t>
      </w:r>
      <w:r w:rsidR="00CA438E">
        <w:rPr>
          <w:i/>
          <w:iCs/>
          <w:lang w:val="da-DK"/>
        </w:rPr>
        <w:t>2</w:t>
      </w:r>
      <w:r w:rsidRPr="000268DF">
        <w:rPr>
          <w:i/>
          <w:iCs/>
          <w:lang w:val="da-DK"/>
        </w:rPr>
        <w:t xml:space="preserve">. Hørte myndigheder og organisationer m.v.  </w:t>
      </w:r>
    </w:p>
    <w:p w:rsidR="000A50B5" w:rsidRPr="00E06696" w:rsidRDefault="000A50B5" w:rsidP="000268DF">
      <w:pPr>
        <w:spacing w:line="288" w:lineRule="auto"/>
        <w:rPr>
          <w:iCs/>
          <w:lang w:val="da-DK"/>
        </w:rPr>
      </w:pPr>
      <w:r w:rsidRPr="00E06696">
        <w:rPr>
          <w:iCs/>
          <w:lang w:val="da-DK"/>
        </w:rPr>
        <w:t xml:space="preserve">Et udkast til lovforslaget har i perioden </w:t>
      </w:r>
      <w:r w:rsidR="00935DCF">
        <w:rPr>
          <w:iCs/>
          <w:lang w:val="da-DK"/>
        </w:rPr>
        <w:t>24. februar 2014 til 24. marts 2014</w:t>
      </w:r>
      <w:r w:rsidRPr="00E06696">
        <w:rPr>
          <w:iCs/>
          <w:lang w:val="da-DK"/>
        </w:rPr>
        <w:t xml:space="preserve"> været sendt i høring hos følgende </w:t>
      </w:r>
      <w:r w:rsidR="00935DCF">
        <w:rPr>
          <w:iCs/>
          <w:lang w:val="da-DK"/>
        </w:rPr>
        <w:t xml:space="preserve">myndigheder og </w:t>
      </w:r>
      <w:r w:rsidRPr="00E06696">
        <w:rPr>
          <w:iCs/>
          <w:lang w:val="da-DK"/>
        </w:rPr>
        <w:t>organisationer</w:t>
      </w:r>
      <w:r w:rsidR="00935DCF">
        <w:rPr>
          <w:iCs/>
          <w:lang w:val="da-DK"/>
        </w:rPr>
        <w:t>:</w:t>
      </w:r>
    </w:p>
    <w:p w:rsidR="00F27802" w:rsidRDefault="00F27802" w:rsidP="006B7DC6">
      <w:pPr>
        <w:rPr>
          <w:i/>
          <w:iCs/>
          <w:lang w:val="da-DK"/>
        </w:rPr>
      </w:pPr>
    </w:p>
    <w:p w:rsidR="006B7DC6" w:rsidRPr="006B7DC6" w:rsidRDefault="006B7DC6" w:rsidP="006B7DC6">
      <w:pPr>
        <w:rPr>
          <w:i/>
          <w:iCs/>
          <w:lang w:val="da-DK"/>
        </w:rPr>
      </w:pPr>
      <w:r w:rsidRPr="006B7DC6">
        <w:rPr>
          <w:i/>
          <w:iCs/>
          <w:lang w:val="da-DK"/>
        </w:rPr>
        <w:t>1</w:t>
      </w:r>
      <w:r>
        <w:rPr>
          <w:i/>
          <w:iCs/>
          <w:lang w:val="da-DK"/>
        </w:rPr>
        <w:t>3</w:t>
      </w:r>
      <w:r w:rsidRPr="006B7DC6">
        <w:rPr>
          <w:i/>
          <w:iCs/>
          <w:lang w:val="da-DK"/>
        </w:rPr>
        <w:t xml:space="preserve">. Sammenfattende skema </w:t>
      </w:r>
    </w:p>
    <w:p w:rsidR="00980AD4" w:rsidRDefault="00980AD4" w:rsidP="000268DF">
      <w:pPr>
        <w:ind w:right="1"/>
        <w:jc w:val="center"/>
        <w:rPr>
          <w:b/>
          <w:bCs/>
          <w:lang w:val="da-DK"/>
        </w:rPr>
      </w:pPr>
    </w:p>
    <w:p w:rsidR="00E678D5" w:rsidRDefault="00E678D5" w:rsidP="000268DF">
      <w:pPr>
        <w:ind w:right="1"/>
        <w:jc w:val="center"/>
        <w:rPr>
          <w:b/>
          <w:bCs/>
          <w:lang w:val="da-DK"/>
        </w:rPr>
      </w:pPr>
    </w:p>
    <w:p w:rsidR="00E678D5" w:rsidRDefault="00E678D5" w:rsidP="000268DF">
      <w:pPr>
        <w:ind w:right="1"/>
        <w:jc w:val="center"/>
        <w:rPr>
          <w:b/>
          <w:bCs/>
          <w:lang w:val="da-DK"/>
        </w:rPr>
      </w:pPr>
    </w:p>
    <w:p w:rsidR="00EE0F57" w:rsidRDefault="00EE0F57" w:rsidP="000268DF">
      <w:pPr>
        <w:ind w:right="1"/>
        <w:jc w:val="center"/>
        <w:rPr>
          <w:b/>
          <w:bCs/>
          <w:lang w:val="da-DK"/>
        </w:rPr>
      </w:pPr>
    </w:p>
    <w:p w:rsidR="000268DF" w:rsidRPr="000268DF" w:rsidRDefault="000268DF" w:rsidP="000268DF">
      <w:pPr>
        <w:ind w:right="1"/>
        <w:jc w:val="center"/>
        <w:rPr>
          <w:b/>
          <w:bCs/>
          <w:lang w:val="da-DK"/>
        </w:rPr>
      </w:pPr>
      <w:r w:rsidRPr="000268DF">
        <w:rPr>
          <w:b/>
          <w:bCs/>
          <w:lang w:val="da-DK"/>
        </w:rPr>
        <w:t>Samlet vurdering af konsekvenser af lovforslaget</w:t>
      </w:r>
    </w:p>
    <w:p w:rsidR="000268DF" w:rsidRPr="000268DF" w:rsidRDefault="000268DF" w:rsidP="000268DF">
      <w:pPr>
        <w:ind w:right="1"/>
        <w:jc w:val="center"/>
        <w:rPr>
          <w:b/>
          <w:bCs/>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3449"/>
        <w:gridCol w:w="3313"/>
      </w:tblGrid>
      <w:tr w:rsidR="000268DF" w:rsidTr="000268DF">
        <w:tc>
          <w:tcPr>
            <w:tcW w:w="1569" w:type="pct"/>
            <w:tcBorders>
              <w:top w:val="single" w:sz="4" w:space="0" w:color="auto"/>
              <w:left w:val="single" w:sz="4" w:space="0" w:color="auto"/>
              <w:bottom w:val="single" w:sz="4" w:space="0" w:color="auto"/>
              <w:right w:val="single" w:sz="4" w:space="0" w:color="auto"/>
            </w:tcBorders>
          </w:tcPr>
          <w:p w:rsidR="000268DF" w:rsidRPr="000268DF" w:rsidRDefault="000268DF">
            <w:pPr>
              <w:widowControl w:val="0"/>
              <w:autoSpaceDE w:val="0"/>
              <w:autoSpaceDN w:val="0"/>
              <w:adjustRightInd w:val="0"/>
              <w:rPr>
                <w:lang w:val="da-DK"/>
              </w:rPr>
            </w:pPr>
          </w:p>
        </w:tc>
        <w:tc>
          <w:tcPr>
            <w:tcW w:w="1750" w:type="pct"/>
            <w:tcBorders>
              <w:top w:val="single" w:sz="4" w:space="0" w:color="auto"/>
              <w:left w:val="single" w:sz="4" w:space="0" w:color="auto"/>
              <w:bottom w:val="single" w:sz="4" w:space="0" w:color="auto"/>
              <w:right w:val="single" w:sz="4" w:space="0" w:color="auto"/>
            </w:tcBorders>
            <w:hideMark/>
          </w:tcPr>
          <w:p w:rsidR="000268DF" w:rsidRPr="00DE069F" w:rsidRDefault="000268DF">
            <w:pPr>
              <w:widowControl w:val="0"/>
              <w:autoSpaceDE w:val="0"/>
              <w:autoSpaceDN w:val="0"/>
              <w:adjustRightInd w:val="0"/>
              <w:rPr>
                <w:lang w:val="da-DK"/>
              </w:rPr>
            </w:pPr>
            <w:r w:rsidRPr="00DE069F">
              <w:rPr>
                <w:lang w:val="da-DK"/>
              </w:rPr>
              <w:t xml:space="preserve">Positive konsekvenser/ mindre udgifter  </w:t>
            </w:r>
          </w:p>
        </w:tc>
        <w:tc>
          <w:tcPr>
            <w:tcW w:w="1681" w:type="pct"/>
            <w:tcBorders>
              <w:top w:val="single" w:sz="4" w:space="0" w:color="auto"/>
              <w:left w:val="single" w:sz="4" w:space="0" w:color="auto"/>
              <w:bottom w:val="single" w:sz="4" w:space="0" w:color="auto"/>
              <w:right w:val="single" w:sz="4" w:space="0" w:color="auto"/>
            </w:tcBorders>
            <w:hideMark/>
          </w:tcPr>
          <w:p w:rsidR="000268DF" w:rsidRDefault="000268DF">
            <w:pPr>
              <w:widowControl w:val="0"/>
              <w:autoSpaceDE w:val="0"/>
              <w:autoSpaceDN w:val="0"/>
              <w:adjustRightInd w:val="0"/>
            </w:pPr>
            <w:r w:rsidRPr="00DE069F">
              <w:rPr>
                <w:lang w:val="da-DK"/>
              </w:rPr>
              <w:t>Nega</w:t>
            </w:r>
            <w:r>
              <w:t>tive konsekvenser/merudgifter</w:t>
            </w:r>
          </w:p>
        </w:tc>
      </w:tr>
      <w:tr w:rsidR="000268DF" w:rsidRPr="00DE47F9" w:rsidTr="000268DF">
        <w:tc>
          <w:tcPr>
            <w:tcW w:w="1569" w:type="pct"/>
            <w:tcBorders>
              <w:top w:val="single" w:sz="4" w:space="0" w:color="auto"/>
              <w:left w:val="single" w:sz="4" w:space="0" w:color="auto"/>
              <w:bottom w:val="single" w:sz="4" w:space="0" w:color="auto"/>
              <w:right w:val="single" w:sz="4" w:space="0" w:color="auto"/>
            </w:tcBorders>
            <w:hideMark/>
          </w:tcPr>
          <w:p w:rsidR="000268DF" w:rsidRPr="000268DF" w:rsidRDefault="000268DF">
            <w:pPr>
              <w:widowControl w:val="0"/>
              <w:autoSpaceDE w:val="0"/>
              <w:autoSpaceDN w:val="0"/>
              <w:adjustRightInd w:val="0"/>
              <w:rPr>
                <w:lang w:val="da-DK"/>
              </w:rPr>
            </w:pPr>
            <w:r w:rsidRPr="000268DF">
              <w:rPr>
                <w:lang w:val="da-DK"/>
              </w:rPr>
              <w:t xml:space="preserve">Økonomiske konsekvenser for det offentlige </w:t>
            </w:r>
          </w:p>
        </w:tc>
        <w:tc>
          <w:tcPr>
            <w:tcW w:w="1750" w:type="pct"/>
            <w:tcBorders>
              <w:top w:val="single" w:sz="4" w:space="0" w:color="auto"/>
              <w:left w:val="single" w:sz="4" w:space="0" w:color="auto"/>
              <w:bottom w:val="single" w:sz="4" w:space="0" w:color="auto"/>
              <w:right w:val="single" w:sz="4" w:space="0" w:color="auto"/>
            </w:tcBorders>
          </w:tcPr>
          <w:p w:rsidR="000268DF" w:rsidRDefault="00F0670E">
            <w:pPr>
              <w:pStyle w:val="Sidefod"/>
              <w:tabs>
                <w:tab w:val="left" w:pos="1304"/>
              </w:tabs>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tcPr>
          <w:p w:rsidR="0001104F" w:rsidRPr="000268DF" w:rsidRDefault="000903C9" w:rsidP="0001104F">
            <w:pPr>
              <w:widowControl w:val="0"/>
              <w:autoSpaceDE w:val="0"/>
              <w:autoSpaceDN w:val="0"/>
              <w:adjustRightInd w:val="0"/>
              <w:rPr>
                <w:lang w:val="da-DK"/>
              </w:rPr>
            </w:pPr>
            <w:r>
              <w:rPr>
                <w:lang w:val="da-DK"/>
              </w:rPr>
              <w:t>Ingen</w:t>
            </w:r>
          </w:p>
        </w:tc>
      </w:tr>
      <w:tr w:rsidR="000268DF" w:rsidRPr="00DE47F9" w:rsidTr="000268DF">
        <w:tc>
          <w:tcPr>
            <w:tcW w:w="1569" w:type="pct"/>
            <w:tcBorders>
              <w:top w:val="single" w:sz="4" w:space="0" w:color="auto"/>
              <w:left w:val="single" w:sz="4" w:space="0" w:color="auto"/>
              <w:bottom w:val="single" w:sz="4" w:space="0" w:color="auto"/>
              <w:right w:val="single" w:sz="4" w:space="0" w:color="auto"/>
            </w:tcBorders>
            <w:hideMark/>
          </w:tcPr>
          <w:p w:rsidR="000268DF" w:rsidRPr="000268DF" w:rsidRDefault="000268DF">
            <w:pPr>
              <w:widowControl w:val="0"/>
              <w:autoSpaceDE w:val="0"/>
              <w:autoSpaceDN w:val="0"/>
              <w:adjustRightInd w:val="0"/>
              <w:rPr>
                <w:lang w:val="da-DK"/>
              </w:rPr>
            </w:pPr>
            <w:r w:rsidRPr="000268DF">
              <w:rPr>
                <w:lang w:val="da-DK"/>
              </w:rPr>
              <w:t>Administrative konsekvenser for det offentlige</w:t>
            </w:r>
          </w:p>
        </w:tc>
        <w:tc>
          <w:tcPr>
            <w:tcW w:w="1750" w:type="pct"/>
            <w:tcBorders>
              <w:top w:val="single" w:sz="4" w:space="0" w:color="auto"/>
              <w:left w:val="single" w:sz="4" w:space="0" w:color="auto"/>
              <w:bottom w:val="single" w:sz="4" w:space="0" w:color="auto"/>
              <w:right w:val="single" w:sz="4" w:space="0" w:color="auto"/>
            </w:tcBorders>
          </w:tcPr>
          <w:p w:rsidR="000268DF" w:rsidRPr="000268DF" w:rsidRDefault="000903C9" w:rsidP="00595CD4">
            <w:pPr>
              <w:widowControl w:val="0"/>
              <w:autoSpaceDE w:val="0"/>
              <w:autoSpaceDN w:val="0"/>
              <w:adjustRightInd w:val="0"/>
              <w:rPr>
                <w:lang w:val="da-DK"/>
              </w:rPr>
            </w:pPr>
            <w:r>
              <w:rPr>
                <w:lang w:val="da-DK"/>
              </w:rPr>
              <w:t>Ingen</w:t>
            </w:r>
          </w:p>
        </w:tc>
        <w:tc>
          <w:tcPr>
            <w:tcW w:w="1681" w:type="pct"/>
            <w:tcBorders>
              <w:top w:val="single" w:sz="4" w:space="0" w:color="auto"/>
              <w:left w:val="single" w:sz="4" w:space="0" w:color="auto"/>
              <w:bottom w:val="single" w:sz="4" w:space="0" w:color="auto"/>
              <w:right w:val="single" w:sz="4" w:space="0" w:color="auto"/>
            </w:tcBorders>
          </w:tcPr>
          <w:p w:rsidR="000268DF" w:rsidRPr="000268DF" w:rsidRDefault="000903C9">
            <w:pPr>
              <w:widowControl w:val="0"/>
              <w:autoSpaceDE w:val="0"/>
              <w:autoSpaceDN w:val="0"/>
              <w:adjustRightInd w:val="0"/>
              <w:rPr>
                <w:lang w:val="da-DK"/>
              </w:rPr>
            </w:pPr>
            <w:r>
              <w:rPr>
                <w:lang w:val="da-DK"/>
              </w:rPr>
              <w:t>Ingen</w:t>
            </w:r>
          </w:p>
        </w:tc>
      </w:tr>
      <w:tr w:rsidR="000268DF" w:rsidRPr="00910C6A" w:rsidTr="000268DF">
        <w:tc>
          <w:tcPr>
            <w:tcW w:w="1569" w:type="pct"/>
            <w:tcBorders>
              <w:top w:val="single" w:sz="4" w:space="0" w:color="auto"/>
              <w:left w:val="single" w:sz="4" w:space="0" w:color="auto"/>
              <w:bottom w:val="single" w:sz="4" w:space="0" w:color="auto"/>
              <w:right w:val="single" w:sz="4" w:space="0" w:color="auto"/>
            </w:tcBorders>
            <w:hideMark/>
          </w:tcPr>
          <w:p w:rsidR="000268DF" w:rsidRPr="00910C6A" w:rsidRDefault="000268DF">
            <w:pPr>
              <w:widowControl w:val="0"/>
              <w:autoSpaceDE w:val="0"/>
              <w:autoSpaceDN w:val="0"/>
              <w:adjustRightInd w:val="0"/>
              <w:rPr>
                <w:lang w:val="da-DK"/>
              </w:rPr>
            </w:pPr>
            <w:r w:rsidRPr="00910C6A">
              <w:rPr>
                <w:lang w:val="da-DK"/>
              </w:rPr>
              <w:t>Økonomiske konsekvenser for erhvervslivet</w:t>
            </w:r>
          </w:p>
        </w:tc>
        <w:tc>
          <w:tcPr>
            <w:tcW w:w="1750" w:type="pct"/>
            <w:tcBorders>
              <w:top w:val="single" w:sz="4" w:space="0" w:color="auto"/>
              <w:left w:val="single" w:sz="4" w:space="0" w:color="auto"/>
              <w:bottom w:val="single" w:sz="4" w:space="0" w:color="auto"/>
              <w:right w:val="single" w:sz="4" w:space="0" w:color="auto"/>
            </w:tcBorders>
          </w:tcPr>
          <w:p w:rsidR="000268DF" w:rsidRPr="00910C6A" w:rsidRDefault="0001104F">
            <w:pPr>
              <w:widowControl w:val="0"/>
              <w:autoSpaceDE w:val="0"/>
              <w:autoSpaceDN w:val="0"/>
              <w:adjustRightInd w:val="0"/>
              <w:rPr>
                <w:lang w:val="da-DK"/>
              </w:rPr>
            </w:pPr>
            <w:r>
              <w:rPr>
                <w:lang w:val="da-DK"/>
              </w:rPr>
              <w:t>Ingen</w:t>
            </w:r>
          </w:p>
        </w:tc>
        <w:tc>
          <w:tcPr>
            <w:tcW w:w="1681" w:type="pct"/>
            <w:tcBorders>
              <w:top w:val="single" w:sz="4" w:space="0" w:color="auto"/>
              <w:left w:val="single" w:sz="4" w:space="0" w:color="auto"/>
              <w:bottom w:val="single" w:sz="4" w:space="0" w:color="auto"/>
              <w:right w:val="single" w:sz="4" w:space="0" w:color="auto"/>
            </w:tcBorders>
          </w:tcPr>
          <w:p w:rsidR="000268DF" w:rsidRPr="00910C6A" w:rsidRDefault="0001104F">
            <w:pPr>
              <w:widowControl w:val="0"/>
              <w:autoSpaceDE w:val="0"/>
              <w:autoSpaceDN w:val="0"/>
              <w:adjustRightInd w:val="0"/>
              <w:rPr>
                <w:lang w:val="da-DK"/>
              </w:rPr>
            </w:pPr>
            <w:r>
              <w:rPr>
                <w:lang w:val="da-DK"/>
              </w:rPr>
              <w:t>Ingen</w:t>
            </w:r>
          </w:p>
        </w:tc>
      </w:tr>
      <w:tr w:rsidR="000268DF" w:rsidTr="000268DF">
        <w:tc>
          <w:tcPr>
            <w:tcW w:w="1569" w:type="pct"/>
            <w:tcBorders>
              <w:top w:val="single" w:sz="4" w:space="0" w:color="auto"/>
              <w:left w:val="single" w:sz="4" w:space="0" w:color="auto"/>
              <w:bottom w:val="single" w:sz="4" w:space="0" w:color="auto"/>
              <w:right w:val="single" w:sz="4" w:space="0" w:color="auto"/>
            </w:tcBorders>
            <w:hideMark/>
          </w:tcPr>
          <w:p w:rsidR="000268DF" w:rsidRDefault="000268DF">
            <w:pPr>
              <w:widowControl w:val="0"/>
              <w:autoSpaceDE w:val="0"/>
              <w:autoSpaceDN w:val="0"/>
              <w:adjustRightInd w:val="0"/>
            </w:pPr>
            <w:r w:rsidRPr="00910C6A">
              <w:rPr>
                <w:lang w:val="da-DK"/>
              </w:rPr>
              <w:t xml:space="preserve">Administrative konsekvenser </w:t>
            </w:r>
            <w:r>
              <w:t xml:space="preserve">for erhvervslivet </w:t>
            </w:r>
          </w:p>
        </w:tc>
        <w:tc>
          <w:tcPr>
            <w:tcW w:w="1750" w:type="pct"/>
            <w:tcBorders>
              <w:top w:val="single" w:sz="4" w:space="0" w:color="auto"/>
              <w:left w:val="single" w:sz="4" w:space="0" w:color="auto"/>
              <w:bottom w:val="single" w:sz="4" w:space="0" w:color="auto"/>
              <w:right w:val="single" w:sz="4" w:space="0" w:color="auto"/>
            </w:tcBorders>
          </w:tcPr>
          <w:p w:rsidR="000268DF" w:rsidRDefault="001C5A1A">
            <w:pPr>
              <w:widowControl w:val="0"/>
              <w:autoSpaceDE w:val="0"/>
              <w:autoSpaceDN w:val="0"/>
              <w:adjustRightInd w:val="0"/>
            </w:pPr>
            <w:r>
              <w:t>Ingen</w:t>
            </w:r>
          </w:p>
        </w:tc>
        <w:tc>
          <w:tcPr>
            <w:tcW w:w="1681" w:type="pct"/>
            <w:tcBorders>
              <w:top w:val="single" w:sz="4" w:space="0" w:color="auto"/>
              <w:left w:val="single" w:sz="4" w:space="0" w:color="auto"/>
              <w:bottom w:val="single" w:sz="4" w:space="0" w:color="auto"/>
              <w:right w:val="single" w:sz="4" w:space="0" w:color="auto"/>
            </w:tcBorders>
          </w:tcPr>
          <w:p w:rsidR="000268DF" w:rsidRDefault="001C5A1A">
            <w:pPr>
              <w:widowControl w:val="0"/>
              <w:autoSpaceDE w:val="0"/>
              <w:autoSpaceDN w:val="0"/>
              <w:adjustRightInd w:val="0"/>
            </w:pPr>
            <w:r>
              <w:t>Ingen</w:t>
            </w:r>
          </w:p>
        </w:tc>
      </w:tr>
      <w:tr w:rsidR="000268DF" w:rsidRPr="00DE47F9" w:rsidTr="000268DF">
        <w:tc>
          <w:tcPr>
            <w:tcW w:w="1569" w:type="pct"/>
            <w:tcBorders>
              <w:top w:val="single" w:sz="4" w:space="0" w:color="auto"/>
              <w:left w:val="single" w:sz="4" w:space="0" w:color="auto"/>
              <w:bottom w:val="single" w:sz="4" w:space="0" w:color="auto"/>
              <w:right w:val="single" w:sz="4" w:space="0" w:color="auto"/>
            </w:tcBorders>
            <w:hideMark/>
          </w:tcPr>
          <w:p w:rsidR="000268DF" w:rsidRDefault="000268DF">
            <w:pPr>
              <w:widowControl w:val="0"/>
              <w:autoSpaceDE w:val="0"/>
              <w:autoSpaceDN w:val="0"/>
              <w:adjustRightInd w:val="0"/>
            </w:pPr>
            <w:r>
              <w:t xml:space="preserve">Administrative konsekvenser for borgerne  </w:t>
            </w:r>
          </w:p>
        </w:tc>
        <w:tc>
          <w:tcPr>
            <w:tcW w:w="1750" w:type="pct"/>
            <w:tcBorders>
              <w:top w:val="single" w:sz="4" w:space="0" w:color="auto"/>
              <w:left w:val="single" w:sz="4" w:space="0" w:color="auto"/>
              <w:bottom w:val="single" w:sz="4" w:space="0" w:color="auto"/>
              <w:right w:val="single" w:sz="4" w:space="0" w:color="auto"/>
            </w:tcBorders>
          </w:tcPr>
          <w:p w:rsidR="000268DF" w:rsidRPr="00E678D5" w:rsidRDefault="000903C9" w:rsidP="00DF6D36">
            <w:pPr>
              <w:widowControl w:val="0"/>
              <w:autoSpaceDE w:val="0"/>
              <w:autoSpaceDN w:val="0"/>
              <w:adjustRightInd w:val="0"/>
              <w:rPr>
                <w:lang w:val="da-DK"/>
              </w:rPr>
            </w:pPr>
            <w:r>
              <w:rPr>
                <w:lang w:val="da-DK"/>
              </w:rPr>
              <w:t>Ingen</w:t>
            </w:r>
          </w:p>
        </w:tc>
        <w:tc>
          <w:tcPr>
            <w:tcW w:w="1681" w:type="pct"/>
            <w:tcBorders>
              <w:top w:val="single" w:sz="4" w:space="0" w:color="auto"/>
              <w:left w:val="single" w:sz="4" w:space="0" w:color="auto"/>
              <w:bottom w:val="single" w:sz="4" w:space="0" w:color="auto"/>
              <w:right w:val="single" w:sz="4" w:space="0" w:color="auto"/>
            </w:tcBorders>
          </w:tcPr>
          <w:p w:rsidR="000268DF" w:rsidRPr="00E678D5" w:rsidRDefault="00433F67">
            <w:pPr>
              <w:widowControl w:val="0"/>
              <w:autoSpaceDE w:val="0"/>
              <w:autoSpaceDN w:val="0"/>
              <w:adjustRightInd w:val="0"/>
              <w:rPr>
                <w:lang w:val="da-DK"/>
              </w:rPr>
            </w:pPr>
            <w:r>
              <w:rPr>
                <w:lang w:val="da-DK"/>
              </w:rPr>
              <w:t>Ingen</w:t>
            </w:r>
          </w:p>
        </w:tc>
      </w:tr>
      <w:tr w:rsidR="000268DF" w:rsidTr="000268DF">
        <w:tc>
          <w:tcPr>
            <w:tcW w:w="1569" w:type="pct"/>
            <w:tcBorders>
              <w:top w:val="single" w:sz="4" w:space="0" w:color="auto"/>
              <w:left w:val="single" w:sz="4" w:space="0" w:color="auto"/>
              <w:bottom w:val="single" w:sz="4" w:space="0" w:color="auto"/>
              <w:right w:val="single" w:sz="4" w:space="0" w:color="auto"/>
            </w:tcBorders>
            <w:hideMark/>
          </w:tcPr>
          <w:p w:rsidR="000268DF" w:rsidRDefault="000268DF">
            <w:pPr>
              <w:widowControl w:val="0"/>
              <w:autoSpaceDE w:val="0"/>
              <w:autoSpaceDN w:val="0"/>
              <w:adjustRightInd w:val="0"/>
            </w:pPr>
            <w:r>
              <w:t xml:space="preserve">Miljømæssige konsekvenser </w:t>
            </w:r>
          </w:p>
        </w:tc>
        <w:tc>
          <w:tcPr>
            <w:tcW w:w="1750" w:type="pct"/>
            <w:tcBorders>
              <w:top w:val="single" w:sz="4" w:space="0" w:color="auto"/>
              <w:left w:val="single" w:sz="4" w:space="0" w:color="auto"/>
              <w:bottom w:val="single" w:sz="4" w:space="0" w:color="auto"/>
              <w:right w:val="single" w:sz="4" w:space="0" w:color="auto"/>
            </w:tcBorders>
          </w:tcPr>
          <w:p w:rsidR="000268DF" w:rsidRDefault="0001104F">
            <w:pPr>
              <w:widowControl w:val="0"/>
              <w:autoSpaceDE w:val="0"/>
              <w:autoSpaceDN w:val="0"/>
              <w:adjustRightInd w:val="0"/>
            </w:pPr>
            <w:r>
              <w:t>Ingen</w:t>
            </w:r>
          </w:p>
        </w:tc>
        <w:tc>
          <w:tcPr>
            <w:tcW w:w="1681" w:type="pct"/>
            <w:tcBorders>
              <w:top w:val="single" w:sz="4" w:space="0" w:color="auto"/>
              <w:left w:val="single" w:sz="4" w:space="0" w:color="auto"/>
              <w:bottom w:val="single" w:sz="4" w:space="0" w:color="auto"/>
              <w:right w:val="single" w:sz="4" w:space="0" w:color="auto"/>
            </w:tcBorders>
          </w:tcPr>
          <w:p w:rsidR="000268DF" w:rsidRDefault="0001104F">
            <w:pPr>
              <w:widowControl w:val="0"/>
              <w:autoSpaceDE w:val="0"/>
              <w:autoSpaceDN w:val="0"/>
              <w:adjustRightInd w:val="0"/>
            </w:pPr>
            <w:r>
              <w:t>Ingen</w:t>
            </w:r>
          </w:p>
        </w:tc>
      </w:tr>
      <w:tr w:rsidR="000268DF" w:rsidRPr="00361A51" w:rsidTr="000268DF">
        <w:trPr>
          <w:cantSplit/>
        </w:trPr>
        <w:tc>
          <w:tcPr>
            <w:tcW w:w="1569" w:type="pct"/>
            <w:tcBorders>
              <w:top w:val="single" w:sz="4" w:space="0" w:color="auto"/>
              <w:left w:val="single" w:sz="4" w:space="0" w:color="auto"/>
              <w:bottom w:val="single" w:sz="4" w:space="0" w:color="auto"/>
              <w:right w:val="single" w:sz="4" w:space="0" w:color="auto"/>
            </w:tcBorders>
            <w:hideMark/>
          </w:tcPr>
          <w:p w:rsidR="000268DF" w:rsidRDefault="000268DF">
            <w:pPr>
              <w:widowControl w:val="0"/>
              <w:autoSpaceDE w:val="0"/>
              <w:autoSpaceDN w:val="0"/>
              <w:adjustRightInd w:val="0"/>
            </w:pPr>
            <w:r>
              <w:t xml:space="preserve">Forholdet til EU-retten </w:t>
            </w:r>
          </w:p>
        </w:tc>
        <w:tc>
          <w:tcPr>
            <w:tcW w:w="3431" w:type="pct"/>
            <w:gridSpan w:val="2"/>
            <w:tcBorders>
              <w:top w:val="single" w:sz="4" w:space="0" w:color="auto"/>
              <w:left w:val="single" w:sz="4" w:space="0" w:color="auto"/>
              <w:bottom w:val="single" w:sz="4" w:space="0" w:color="auto"/>
              <w:right w:val="single" w:sz="4" w:space="0" w:color="auto"/>
            </w:tcBorders>
          </w:tcPr>
          <w:p w:rsidR="000268DF" w:rsidRDefault="00DF6D36" w:rsidP="00DF6D36">
            <w:pPr>
              <w:widowControl w:val="0"/>
              <w:autoSpaceDE w:val="0"/>
              <w:autoSpaceDN w:val="0"/>
              <w:adjustRightInd w:val="0"/>
              <w:rPr>
                <w:lang w:val="da-DK"/>
              </w:rPr>
            </w:pPr>
            <w:r w:rsidRPr="00E678D5">
              <w:rPr>
                <w:lang w:val="da-DK"/>
              </w:rPr>
              <w:t>Sammenlægningsprincippet i artikel 6 i forordning nr. 883/04 finder anvendelse i forhold til optjeningsprincippet for børne- og ungeydelsen og ydelser efter børnetilskudsloven</w:t>
            </w:r>
            <w:r>
              <w:rPr>
                <w:lang w:val="da-DK"/>
              </w:rPr>
              <w:t>. Dette</w:t>
            </w:r>
            <w:r w:rsidRPr="00DF6D36">
              <w:rPr>
                <w:lang w:val="da-DK"/>
              </w:rPr>
              <w:t xml:space="preserve"> indebærer </w:t>
            </w:r>
            <w:r w:rsidRPr="00E678D5">
              <w:rPr>
                <w:lang w:val="da-DK"/>
              </w:rPr>
              <w:t xml:space="preserve">en forpligtelse til at medregne beskæftigelses- og bopælsperioder, der er tilbagelagt efter en anden medlemsstats lovgivning, ved vurderingen af, om </w:t>
            </w:r>
            <w:r>
              <w:rPr>
                <w:lang w:val="da-DK"/>
              </w:rPr>
              <w:t>personer omfattet af forordningen har</w:t>
            </w:r>
            <w:r w:rsidRPr="00E678D5">
              <w:rPr>
                <w:lang w:val="da-DK"/>
              </w:rPr>
              <w:t xml:space="preserve"> optjent ret til disse ydelser.</w:t>
            </w:r>
          </w:p>
          <w:p w:rsidR="000903C9" w:rsidRDefault="000903C9" w:rsidP="00DF6D36">
            <w:pPr>
              <w:widowControl w:val="0"/>
              <w:autoSpaceDE w:val="0"/>
              <w:autoSpaceDN w:val="0"/>
              <w:adjustRightInd w:val="0"/>
              <w:rPr>
                <w:lang w:val="da-DK"/>
              </w:rPr>
            </w:pPr>
          </w:p>
          <w:p w:rsidR="00DF6D36" w:rsidRPr="00E678D5" w:rsidRDefault="000903C9" w:rsidP="00DF6D36">
            <w:pPr>
              <w:widowControl w:val="0"/>
              <w:autoSpaceDE w:val="0"/>
              <w:autoSpaceDN w:val="0"/>
              <w:adjustRightInd w:val="0"/>
              <w:rPr>
                <w:lang w:val="da-DK"/>
              </w:rPr>
            </w:pPr>
            <w:r>
              <w:rPr>
                <w:lang w:val="da-DK"/>
              </w:rPr>
              <w:t xml:space="preserve">Administrationen af optjeningsprincippet er allerede ændret, således at sammenlægningsprincippet i forordning nr. 883/04 finder anvendelse. </w:t>
            </w:r>
            <w:r w:rsidRPr="000903C9">
              <w:rPr>
                <w:lang w:val="da-DK"/>
              </w:rPr>
              <w:t xml:space="preserve">Lovforslagets formål er </w:t>
            </w:r>
            <w:r>
              <w:rPr>
                <w:lang w:val="da-DK"/>
              </w:rPr>
              <w:t xml:space="preserve">derfor </w:t>
            </w:r>
            <w:r w:rsidRPr="000903C9">
              <w:rPr>
                <w:lang w:val="da-DK"/>
              </w:rPr>
              <w:t>at tilrette lovgivningen, så den klart afspejler forpligtelserne i henhold til EU-retten.</w:t>
            </w:r>
          </w:p>
        </w:tc>
      </w:tr>
    </w:tbl>
    <w:p w:rsidR="000268DF" w:rsidRDefault="000268DF" w:rsidP="000268DF">
      <w:pPr>
        <w:ind w:right="1"/>
        <w:rPr>
          <w:lang w:val="da-DK"/>
        </w:rPr>
      </w:pPr>
    </w:p>
    <w:p w:rsidR="00F27802" w:rsidRPr="00E678D5" w:rsidRDefault="00F27802" w:rsidP="000268DF">
      <w:pPr>
        <w:ind w:right="1"/>
        <w:rPr>
          <w:lang w:val="da-DK"/>
        </w:rPr>
      </w:pPr>
    </w:p>
    <w:p w:rsidR="0016688B" w:rsidRPr="00910C6A" w:rsidRDefault="0016688B" w:rsidP="000268DF">
      <w:pPr>
        <w:ind w:right="1"/>
        <w:rPr>
          <w:lang w:val="da-DK"/>
        </w:rPr>
      </w:pPr>
    </w:p>
    <w:p w:rsidR="000268DF" w:rsidRPr="001211F4" w:rsidRDefault="000268DF" w:rsidP="000268DF">
      <w:pPr>
        <w:jc w:val="center"/>
        <w:rPr>
          <w:i/>
          <w:iCs/>
          <w:lang w:val="da-DK"/>
        </w:rPr>
      </w:pPr>
      <w:r w:rsidRPr="001211F4">
        <w:rPr>
          <w:i/>
          <w:iCs/>
          <w:lang w:val="da-DK"/>
        </w:rPr>
        <w:t>Bemærkninger til lovforslagets enkelte bestemmelser</w:t>
      </w:r>
    </w:p>
    <w:p w:rsidR="000268DF" w:rsidRPr="001211F4" w:rsidRDefault="000268DF" w:rsidP="000268DF">
      <w:pPr>
        <w:rPr>
          <w:lang w:val="da-DK"/>
        </w:rPr>
      </w:pPr>
    </w:p>
    <w:p w:rsidR="000268DF" w:rsidRPr="001211F4" w:rsidRDefault="000268DF" w:rsidP="000268DF">
      <w:pPr>
        <w:rPr>
          <w:lang w:val="da-DK"/>
        </w:rPr>
      </w:pPr>
    </w:p>
    <w:p w:rsidR="000268DF" w:rsidRPr="001211F4" w:rsidRDefault="000268DF" w:rsidP="000268DF">
      <w:pPr>
        <w:jc w:val="center"/>
        <w:rPr>
          <w:i/>
          <w:iCs/>
          <w:lang w:val="da-DK"/>
        </w:rPr>
      </w:pPr>
      <w:r w:rsidRPr="001211F4">
        <w:rPr>
          <w:i/>
          <w:iCs/>
          <w:lang w:val="da-DK"/>
        </w:rPr>
        <w:t>Til § 1</w:t>
      </w:r>
    </w:p>
    <w:p w:rsidR="007A5C97" w:rsidRDefault="00503B02" w:rsidP="00E029A4">
      <w:pPr>
        <w:rPr>
          <w:lang w:val="da-DK"/>
        </w:rPr>
      </w:pPr>
      <w:r w:rsidRPr="00503B02">
        <w:rPr>
          <w:lang w:val="da-DK"/>
        </w:rPr>
        <w:t xml:space="preserve">Til nr. </w:t>
      </w:r>
      <w:r>
        <w:rPr>
          <w:lang w:val="da-DK"/>
        </w:rPr>
        <w:t>1</w:t>
      </w:r>
      <w:r w:rsidR="007A5C97">
        <w:rPr>
          <w:lang w:val="da-DK"/>
        </w:rPr>
        <w:t xml:space="preserve"> og 2</w:t>
      </w:r>
    </w:p>
    <w:p w:rsidR="007A5C97" w:rsidRDefault="007A5C97" w:rsidP="00E029A4">
      <w:pPr>
        <w:rPr>
          <w:lang w:val="da-DK"/>
        </w:rPr>
      </w:pPr>
      <w:r>
        <w:rPr>
          <w:lang w:val="da-DK"/>
        </w:rPr>
        <w:t xml:space="preserve">Det foreslås at </w:t>
      </w:r>
      <w:r w:rsidRPr="007A5C97">
        <w:rPr>
          <w:lang w:val="da-DK"/>
        </w:rPr>
        <w:t>tilrette lovgivningen, så den klart afspejler forpligtelse</w:t>
      </w:r>
      <w:r>
        <w:rPr>
          <w:lang w:val="da-DK"/>
        </w:rPr>
        <w:t>n til at anvende sammenlægningsprincippet</w:t>
      </w:r>
      <w:r w:rsidR="001C4F83">
        <w:rPr>
          <w:lang w:val="da-DK"/>
        </w:rPr>
        <w:t xml:space="preserve"> i artikel 6</w:t>
      </w:r>
      <w:r>
        <w:rPr>
          <w:lang w:val="da-DK"/>
        </w:rPr>
        <w:t xml:space="preserve"> i forordning nr. 883/04 ved </w:t>
      </w:r>
      <w:r w:rsidR="001C4F83">
        <w:rPr>
          <w:lang w:val="da-DK"/>
        </w:rPr>
        <w:t>opgørelsen af optjeningsperioden på 2 år efter</w:t>
      </w:r>
      <w:r>
        <w:rPr>
          <w:lang w:val="da-DK"/>
        </w:rPr>
        <w:t xml:space="preserve"> optjeningsprincippet.</w:t>
      </w:r>
    </w:p>
    <w:p w:rsidR="007A5C97" w:rsidRDefault="007A5C97" w:rsidP="00E029A4">
      <w:pPr>
        <w:rPr>
          <w:lang w:val="da-DK"/>
        </w:rPr>
      </w:pPr>
    </w:p>
    <w:p w:rsidR="0050796D" w:rsidRDefault="00E54EA6" w:rsidP="00664133">
      <w:pPr>
        <w:rPr>
          <w:lang w:val="da-DK"/>
        </w:rPr>
      </w:pPr>
      <w:r w:rsidRPr="00E54EA6">
        <w:rPr>
          <w:lang w:val="da-DK"/>
        </w:rPr>
        <w:t>Forordningen finder anvendelse på personer, der er statsborgere i en medlemsstat, samt på statsløse og flygtninge bosat i en medlemsstat, og som er eller har været omfattet af lovgivningen i en eller flere medlemsstater, samt på disses familiem</w:t>
      </w:r>
      <w:r w:rsidR="00D02B0F">
        <w:rPr>
          <w:lang w:val="da-DK"/>
        </w:rPr>
        <w:t>e</w:t>
      </w:r>
      <w:r w:rsidRPr="00E54EA6">
        <w:rPr>
          <w:lang w:val="da-DK"/>
        </w:rPr>
        <w:t>dlemmer og efterladte. Den finder ligeledes anvendelse på efterladte efter personer, som har været omfattet af lovgivningen i en eller flere medlemsstater uanset disse personers nationalitet, såfremt deres efterladte er statsborgere i en medlemsstat eller statsløse eller flygtninge bosat i en medlemsstat.</w:t>
      </w:r>
      <w:r w:rsidR="0050796D">
        <w:rPr>
          <w:lang w:val="da-DK"/>
        </w:rPr>
        <w:t xml:space="preserve"> </w:t>
      </w:r>
    </w:p>
    <w:p w:rsidR="0050796D" w:rsidRDefault="0050796D" w:rsidP="00664133">
      <w:pPr>
        <w:rPr>
          <w:lang w:val="da-DK"/>
        </w:rPr>
      </w:pPr>
    </w:p>
    <w:p w:rsidR="0050796D" w:rsidRDefault="00664133" w:rsidP="00A85FCE">
      <w:pPr>
        <w:rPr>
          <w:lang w:val="da-DK"/>
        </w:rPr>
      </w:pPr>
      <w:r w:rsidRPr="00664133">
        <w:rPr>
          <w:lang w:val="da-DK"/>
        </w:rPr>
        <w:t>Forordningen finder tilsvarende anvendelse for statsborgere m.fl. fra EØS-lande og Schweiz.</w:t>
      </w:r>
    </w:p>
    <w:p w:rsidR="008000CE" w:rsidRDefault="00242876" w:rsidP="00A85FCE">
      <w:pPr>
        <w:rPr>
          <w:lang w:val="da-DK"/>
        </w:rPr>
      </w:pPr>
      <w:r w:rsidRPr="00242876">
        <w:rPr>
          <w:lang w:val="da-DK"/>
        </w:rPr>
        <w:t xml:space="preserve">Det er et krav for at være omfattet af forordningen, at den pågældende person </w:t>
      </w:r>
      <w:r w:rsidR="00433F67">
        <w:rPr>
          <w:lang w:val="da-DK"/>
        </w:rPr>
        <w:t>e</w:t>
      </w:r>
      <w:r w:rsidRPr="00242876">
        <w:rPr>
          <w:lang w:val="da-DK"/>
        </w:rPr>
        <w:t xml:space="preserve">r vandret mellem to stater omfattet af forordningen. Det betyder, at f.eks. en dansk statsborger, der har boet i Canada i </w:t>
      </w:r>
      <w:r w:rsidR="00444EA5">
        <w:rPr>
          <w:lang w:val="da-DK"/>
        </w:rPr>
        <w:t>mere end</w:t>
      </w:r>
      <w:r w:rsidRPr="00242876">
        <w:rPr>
          <w:lang w:val="da-DK"/>
        </w:rPr>
        <w:t xml:space="preserve"> 8 år og</w:t>
      </w:r>
      <w:r w:rsidR="009A59AD">
        <w:rPr>
          <w:lang w:val="da-DK"/>
        </w:rPr>
        <w:t xml:space="preserve"> </w:t>
      </w:r>
      <w:r w:rsidR="009F7133">
        <w:rPr>
          <w:lang w:val="da-DK"/>
        </w:rPr>
        <w:t>i umiddelbar forlængelse heraf</w:t>
      </w:r>
      <w:r w:rsidRPr="00242876">
        <w:rPr>
          <w:lang w:val="da-DK"/>
        </w:rPr>
        <w:t xml:space="preserve"> vender hjem til Danmark</w:t>
      </w:r>
      <w:r w:rsidR="00444EA5">
        <w:rPr>
          <w:lang w:val="da-DK"/>
        </w:rPr>
        <w:t xml:space="preserve"> ikke opfylder</w:t>
      </w:r>
      <w:r>
        <w:rPr>
          <w:lang w:val="da-DK"/>
        </w:rPr>
        <w:t xml:space="preserve"> optjeningsprincippet</w:t>
      </w:r>
      <w:r w:rsidR="00444EA5">
        <w:rPr>
          <w:lang w:val="da-DK"/>
        </w:rPr>
        <w:t>s krav om 2 års forudgående bopæl eller beskæftigelse i rige</w:t>
      </w:r>
      <w:r w:rsidR="009F7133">
        <w:rPr>
          <w:lang w:val="da-DK"/>
        </w:rPr>
        <w:t>t</w:t>
      </w:r>
      <w:r w:rsidR="00444EA5">
        <w:rPr>
          <w:lang w:val="da-DK"/>
        </w:rPr>
        <w:t xml:space="preserve"> </w:t>
      </w:r>
      <w:r w:rsidR="0052292B">
        <w:rPr>
          <w:lang w:val="da-DK"/>
        </w:rPr>
        <w:t>inden for de seneste 10 år</w:t>
      </w:r>
      <w:r w:rsidR="00444EA5">
        <w:rPr>
          <w:lang w:val="da-DK"/>
        </w:rPr>
        <w:t xml:space="preserve"> og </w:t>
      </w:r>
      <w:r w:rsidR="0052292B">
        <w:rPr>
          <w:lang w:val="da-DK"/>
        </w:rPr>
        <w:t>som følge deraf vil modtage en reduceret ydelsesudbetaling</w:t>
      </w:r>
      <w:r w:rsidRPr="00242876">
        <w:rPr>
          <w:lang w:val="da-DK"/>
        </w:rPr>
        <w:t>.</w:t>
      </w:r>
      <w:r w:rsidR="00444EA5">
        <w:rPr>
          <w:lang w:val="da-DK"/>
        </w:rPr>
        <w:t xml:space="preserve"> Har den danske statsborger derimod boet i et andet EU/EØS-land eller Schweiz i mere end 8 år</w:t>
      </w:r>
      <w:r w:rsidR="009F7133">
        <w:rPr>
          <w:lang w:val="da-DK"/>
        </w:rPr>
        <w:t xml:space="preserve"> og i umiddelbar forlængelse heraf kommer til Danmark</w:t>
      </w:r>
      <w:r w:rsidR="00444EA5">
        <w:rPr>
          <w:lang w:val="da-DK"/>
        </w:rPr>
        <w:t>, vil borgeren være omfattet af forordningen</w:t>
      </w:r>
      <w:r w:rsidR="00DA59B7">
        <w:rPr>
          <w:lang w:val="da-DK"/>
        </w:rPr>
        <w:t>,</w:t>
      </w:r>
      <w:r w:rsidR="00444EA5">
        <w:rPr>
          <w:lang w:val="da-DK"/>
        </w:rPr>
        <w:t xml:space="preserve"> og som følge af sammenlægningsprincippet</w:t>
      </w:r>
      <w:r w:rsidR="0052292B">
        <w:rPr>
          <w:lang w:val="da-DK"/>
        </w:rPr>
        <w:t xml:space="preserve"> </w:t>
      </w:r>
      <w:r w:rsidR="00444EA5">
        <w:rPr>
          <w:lang w:val="da-DK"/>
        </w:rPr>
        <w:t>vil borgeren opfylde optjeningsprincippet og have ret til fuld ydelse.</w:t>
      </w:r>
      <w:r w:rsidR="00433F67">
        <w:rPr>
          <w:lang w:val="da-DK"/>
        </w:rPr>
        <w:t xml:space="preserve"> Det er således alene et krav for</w:t>
      </w:r>
      <w:r w:rsidR="003532A6">
        <w:rPr>
          <w:lang w:val="da-DK"/>
        </w:rPr>
        <w:t xml:space="preserve"> personer omfattet af forordningen for at få ret til fuld ydelse at have tilbagelagt beskæftigelses- eller bopælsperioder i en anden medlemsstats, EØS-stats eller schweizisk lovgivning i 2 år inden for de seneste 10 år forud for den periode, udbetalingen vedrører.</w:t>
      </w:r>
    </w:p>
    <w:p w:rsidR="00E93475" w:rsidRPr="000268DF" w:rsidRDefault="00E93475" w:rsidP="00F0670E">
      <w:pPr>
        <w:rPr>
          <w:lang w:val="da-DK"/>
        </w:rPr>
      </w:pPr>
    </w:p>
    <w:p w:rsidR="00A85FCE" w:rsidRDefault="00A85FCE" w:rsidP="000268DF">
      <w:pPr>
        <w:jc w:val="center"/>
        <w:rPr>
          <w:i/>
          <w:iCs/>
          <w:lang w:val="da-DK"/>
        </w:rPr>
      </w:pPr>
    </w:p>
    <w:p w:rsidR="000268DF" w:rsidRPr="000268DF" w:rsidRDefault="000268DF" w:rsidP="000268DF">
      <w:pPr>
        <w:jc w:val="center"/>
        <w:rPr>
          <w:lang w:val="da-DK"/>
        </w:rPr>
      </w:pPr>
      <w:r w:rsidRPr="000268DF">
        <w:rPr>
          <w:i/>
          <w:iCs/>
          <w:lang w:val="da-DK"/>
        </w:rPr>
        <w:t>Til § 2</w:t>
      </w:r>
    </w:p>
    <w:p w:rsidR="00B93D79" w:rsidRDefault="00B93D79" w:rsidP="000268DF">
      <w:pPr>
        <w:rPr>
          <w:bCs/>
          <w:lang w:val="da-DK"/>
        </w:rPr>
      </w:pPr>
    </w:p>
    <w:p w:rsidR="007E2DEA" w:rsidRDefault="007E2DEA" w:rsidP="000268DF">
      <w:pPr>
        <w:rPr>
          <w:bCs/>
          <w:lang w:val="da-DK"/>
        </w:rPr>
      </w:pPr>
      <w:r>
        <w:rPr>
          <w:bCs/>
          <w:lang w:val="da-DK"/>
        </w:rPr>
        <w:t>Til nr. 1-2</w:t>
      </w:r>
    </w:p>
    <w:p w:rsidR="003532A6" w:rsidRPr="003532A6" w:rsidRDefault="003532A6" w:rsidP="003532A6">
      <w:pPr>
        <w:rPr>
          <w:bCs/>
          <w:lang w:val="da-DK"/>
        </w:rPr>
      </w:pPr>
      <w:r w:rsidRPr="003532A6">
        <w:rPr>
          <w:bCs/>
          <w:lang w:val="da-DK"/>
        </w:rPr>
        <w:t>Det foreslås at tilrette lovgivningen, så den klart afspejler forpligtelsen til at anvende sammenlægningsprincippet i artikel 6 i forordning nr. 883/04 ved opgørelsen af optjeningsperioden på 2 år efter optjeningsprincippet.</w:t>
      </w:r>
    </w:p>
    <w:p w:rsidR="003532A6" w:rsidRPr="003532A6" w:rsidRDefault="003532A6" w:rsidP="003532A6">
      <w:pPr>
        <w:rPr>
          <w:bCs/>
          <w:lang w:val="da-DK"/>
        </w:rPr>
      </w:pPr>
    </w:p>
    <w:p w:rsidR="003532A6" w:rsidRPr="003532A6" w:rsidRDefault="003532A6" w:rsidP="003532A6">
      <w:pPr>
        <w:rPr>
          <w:bCs/>
          <w:lang w:val="da-DK"/>
        </w:rPr>
      </w:pPr>
      <w:r w:rsidRPr="003532A6">
        <w:rPr>
          <w:bCs/>
          <w:lang w:val="da-DK"/>
        </w:rPr>
        <w:t>Forordningen finder anvendelse på personer, der er statsborgere i en medlemsstat, samt på statsløse og flygtninge bosat i en medlemsstat, og som er eller har været omfattet af lovgivningen i en eller flere medlemsstater, samt på disses familiemedlemmer og efterladte. Den finder ligeledes anvendelse på efterladte efter personer, som har været omfattet af lovgivningen i en eller flere medlemsstater uanset disse personers nationalitet, såfremt deres efterladte er statsborgere i en medlemsstat eller statsløse eller flygtninge bosat i en medlemsstat.</w:t>
      </w:r>
    </w:p>
    <w:p w:rsidR="003532A6" w:rsidRPr="003532A6" w:rsidRDefault="003532A6" w:rsidP="003532A6">
      <w:pPr>
        <w:rPr>
          <w:bCs/>
          <w:lang w:val="da-DK"/>
        </w:rPr>
      </w:pPr>
    </w:p>
    <w:p w:rsidR="003532A6" w:rsidRPr="003532A6" w:rsidRDefault="003532A6" w:rsidP="003532A6">
      <w:pPr>
        <w:rPr>
          <w:bCs/>
          <w:lang w:val="da-DK"/>
        </w:rPr>
      </w:pPr>
      <w:r w:rsidRPr="003532A6">
        <w:rPr>
          <w:bCs/>
          <w:lang w:val="da-DK"/>
        </w:rPr>
        <w:t>Forordningen finder tilsvarende anvendelse for statsborgere m.fl. fra EØS-lande og Schweiz.</w:t>
      </w:r>
    </w:p>
    <w:p w:rsidR="003532A6" w:rsidRPr="003532A6" w:rsidRDefault="003532A6" w:rsidP="003532A6">
      <w:pPr>
        <w:rPr>
          <w:bCs/>
          <w:lang w:val="da-DK"/>
        </w:rPr>
      </w:pPr>
    </w:p>
    <w:p w:rsidR="003532A6" w:rsidRPr="003532A6" w:rsidRDefault="003532A6" w:rsidP="003532A6">
      <w:pPr>
        <w:rPr>
          <w:bCs/>
          <w:lang w:val="da-DK"/>
        </w:rPr>
      </w:pPr>
      <w:r w:rsidRPr="003532A6">
        <w:rPr>
          <w:bCs/>
          <w:lang w:val="da-DK"/>
        </w:rPr>
        <w:t>Det er et krav for at være omfattet af forordningen, at den pågældende person er vandret mellem to stater omfattet af forordningen. Det betyder, at f.eks. en dansk statsborger, der har boet i Canada i mere end 8 år og i umiddelbar forlængelse heraf vender hjem til Danmark ikke opfylder optjeningsprincippets krav om 2 års forudgående bopæl eller beskæftigelse i riget inden for de seneste 10 år og som følge deraf vil modtage en reduceret ydelsesudbetaling. Har den danske statsborger derimod boet i et andet EU/EØS-land eller Schweiz i mere end 8 år og i umiddelbar forlængelse heraf kommer til Danmark, vil borgeren være omfattet af forordningen, og som følge af sammenlægningsprincippet vil borgeren opfylde optjeningsprincippet og have ret til fuld ydelse. Det er således alene et krav for personer omfattet af forordningen for at få ret til fuld ydelse at have tilbagelagt beskæftigelses- eller bopælsperioder i en anden medlemsstats, EØS-stats eller schweizisk lovgivning i 2 år inden for de seneste 10 år forud for den periode, udbetalingen vedrører.</w:t>
      </w:r>
    </w:p>
    <w:p w:rsidR="007E2DEA" w:rsidRDefault="007E2DEA" w:rsidP="000268DF">
      <w:pPr>
        <w:rPr>
          <w:bCs/>
          <w:lang w:val="da-DK"/>
        </w:rPr>
      </w:pPr>
    </w:p>
    <w:p w:rsidR="004B3300" w:rsidRDefault="004B3300" w:rsidP="000268DF">
      <w:pPr>
        <w:jc w:val="center"/>
        <w:rPr>
          <w:i/>
          <w:iCs/>
          <w:lang w:val="da-DK"/>
        </w:rPr>
      </w:pPr>
    </w:p>
    <w:p w:rsidR="000268DF" w:rsidRPr="000268DF" w:rsidRDefault="000268DF" w:rsidP="000268DF">
      <w:pPr>
        <w:jc w:val="center"/>
        <w:rPr>
          <w:i/>
          <w:iCs/>
          <w:lang w:val="da-DK"/>
        </w:rPr>
      </w:pPr>
      <w:r w:rsidRPr="000268DF">
        <w:rPr>
          <w:i/>
          <w:iCs/>
          <w:lang w:val="da-DK"/>
        </w:rPr>
        <w:t>Til § 3</w:t>
      </w:r>
    </w:p>
    <w:p w:rsidR="000268DF" w:rsidRPr="000268DF" w:rsidRDefault="000268DF" w:rsidP="000268DF">
      <w:pPr>
        <w:rPr>
          <w:b/>
          <w:bCs/>
          <w:lang w:val="da-DK"/>
        </w:rPr>
      </w:pPr>
    </w:p>
    <w:p w:rsidR="00D97F0E" w:rsidRDefault="003532A6">
      <w:pPr>
        <w:ind w:right="1"/>
        <w:rPr>
          <w:lang w:val="da-DK"/>
        </w:rPr>
      </w:pPr>
      <w:r w:rsidRPr="003532A6">
        <w:rPr>
          <w:iCs/>
          <w:lang w:val="da-DK"/>
        </w:rPr>
        <w:t xml:space="preserve">Skatteministeriet og Social- og Integrationsministeriet meddelte den </w:t>
      </w:r>
      <w:r w:rsidR="006C0C53">
        <w:rPr>
          <w:iCs/>
          <w:lang w:val="da-DK"/>
        </w:rPr>
        <w:t>9</w:t>
      </w:r>
      <w:r w:rsidRPr="003532A6">
        <w:rPr>
          <w:iCs/>
          <w:lang w:val="da-DK"/>
        </w:rPr>
        <w:t xml:space="preserve">. juli 2013 Udbetaling Danmark, som administrerer børne- og ungeydelsen samt ydelserne efter børnetilskudsloven, at Udbetaling Danmark med øjeblikkelig virkning skulle administrere optjeningsprincippet i overensstemmelse med sammenlægningsprincippet i artikel 6 i forordning nr. 883/04. </w:t>
      </w:r>
      <w:r w:rsidR="00A11993">
        <w:rPr>
          <w:lang w:val="da-DK"/>
        </w:rPr>
        <w:t>Det foreslås</w:t>
      </w:r>
      <w:r>
        <w:rPr>
          <w:lang w:val="da-DK"/>
        </w:rPr>
        <w:t xml:space="preserve"> på den baggrund</w:t>
      </w:r>
      <w:r w:rsidR="00A11993">
        <w:rPr>
          <w:lang w:val="da-DK"/>
        </w:rPr>
        <w:t>, at loven træde</w:t>
      </w:r>
      <w:r w:rsidR="00780F2A">
        <w:rPr>
          <w:lang w:val="da-DK"/>
        </w:rPr>
        <w:t xml:space="preserve">r i kraft </w:t>
      </w:r>
      <w:r w:rsidR="00E37010">
        <w:rPr>
          <w:lang w:val="da-DK"/>
        </w:rPr>
        <w:t>dagen efter bekendtgørelsen i Lovtidende</w:t>
      </w:r>
      <w:r w:rsidR="006D2B8A">
        <w:rPr>
          <w:lang w:val="da-DK"/>
        </w:rPr>
        <w:t>.</w:t>
      </w:r>
    </w:p>
    <w:p w:rsidR="00D97F0E" w:rsidRPr="00D97F0E" w:rsidRDefault="00D97F0E" w:rsidP="00D97F0E">
      <w:pPr>
        <w:ind w:right="1"/>
        <w:rPr>
          <w:lang w:val="da-DK"/>
        </w:rPr>
      </w:pPr>
      <w:r>
        <w:rPr>
          <w:lang w:val="da-DK"/>
        </w:rPr>
        <w:br w:type="page"/>
      </w:r>
    </w:p>
    <w:p w:rsidR="00D97F0E" w:rsidRPr="00D97F0E" w:rsidRDefault="00D97F0E" w:rsidP="00D97F0E">
      <w:pPr>
        <w:ind w:right="1"/>
        <w:rPr>
          <w:b/>
          <w:lang w:val="da-DK"/>
        </w:rPr>
      </w:pPr>
      <w:r w:rsidRPr="00D97F0E">
        <w:rPr>
          <w:lang w:val="da-DK"/>
        </w:rPr>
        <w:tab/>
      </w:r>
      <w:r w:rsidRPr="00D97F0E">
        <w:rPr>
          <w:lang w:val="da-DK"/>
        </w:rPr>
        <w:tab/>
      </w:r>
      <w:r w:rsidRPr="00D97F0E">
        <w:rPr>
          <w:lang w:val="da-DK"/>
        </w:rPr>
        <w:tab/>
      </w:r>
      <w:r w:rsidRPr="00D97F0E">
        <w:rPr>
          <w:lang w:val="da-DK"/>
        </w:rPr>
        <w:tab/>
      </w:r>
      <w:r w:rsidRPr="00D97F0E">
        <w:rPr>
          <w:lang w:val="da-DK"/>
        </w:rPr>
        <w:tab/>
      </w:r>
      <w:r w:rsidRPr="00D97F0E">
        <w:rPr>
          <w:lang w:val="da-DK"/>
        </w:rPr>
        <w:tab/>
      </w:r>
      <w:r w:rsidRPr="00D97F0E">
        <w:rPr>
          <w:lang w:val="da-DK"/>
        </w:rPr>
        <w:tab/>
      </w:r>
      <w:r w:rsidRPr="00D97F0E">
        <w:rPr>
          <w:lang w:val="da-DK"/>
        </w:rPr>
        <w:tab/>
      </w:r>
      <w:r w:rsidRPr="00D97F0E">
        <w:rPr>
          <w:lang w:val="da-DK"/>
        </w:rPr>
        <w:tab/>
      </w:r>
      <w:r w:rsidRPr="00D97F0E">
        <w:rPr>
          <w:lang w:val="da-DK"/>
        </w:rPr>
        <w:tab/>
      </w:r>
      <w:r w:rsidRPr="00D97F0E">
        <w:rPr>
          <w:lang w:val="da-DK"/>
        </w:rPr>
        <w:tab/>
      </w:r>
      <w:r>
        <w:rPr>
          <w:b/>
          <w:lang w:val="da-DK"/>
        </w:rPr>
        <w:t>Bilag 1</w:t>
      </w:r>
    </w:p>
    <w:p w:rsidR="00D97F0E" w:rsidRPr="00D97F0E" w:rsidRDefault="00D97F0E" w:rsidP="00D97F0E">
      <w:pPr>
        <w:ind w:right="1"/>
        <w:rPr>
          <w:b/>
          <w:bCs/>
          <w:lang w:val="da-DK"/>
        </w:rPr>
      </w:pPr>
    </w:p>
    <w:p w:rsidR="00D97F0E" w:rsidRPr="00D97F0E" w:rsidRDefault="00D97F0E" w:rsidP="00DD4B2D">
      <w:pPr>
        <w:ind w:right="1"/>
        <w:jc w:val="center"/>
        <w:rPr>
          <w:b/>
          <w:bCs/>
          <w:lang w:val="da-DK"/>
        </w:rPr>
      </w:pPr>
      <w:r w:rsidRPr="00D97F0E">
        <w:rPr>
          <w:b/>
          <w:bCs/>
          <w:lang w:val="da-DK"/>
        </w:rPr>
        <w:t>Lovforslaget sammenholdt med gældende lov</w:t>
      </w:r>
    </w:p>
    <w:tbl>
      <w:tblPr>
        <w:tblW w:w="0" w:type="auto"/>
        <w:tblLook w:val="04A0" w:firstRow="1" w:lastRow="0" w:firstColumn="1" w:lastColumn="0" w:noHBand="0" w:noVBand="1"/>
      </w:tblPr>
      <w:tblGrid>
        <w:gridCol w:w="3984"/>
        <w:gridCol w:w="3985"/>
      </w:tblGrid>
      <w:tr w:rsidR="00D97F0E" w:rsidRPr="00D97F0E" w:rsidTr="00D97F0E">
        <w:tc>
          <w:tcPr>
            <w:tcW w:w="3984" w:type="dxa"/>
          </w:tcPr>
          <w:p w:rsidR="00D97F0E" w:rsidRPr="00D97F0E" w:rsidRDefault="00D97F0E" w:rsidP="00D97F0E">
            <w:pPr>
              <w:ind w:right="1"/>
              <w:rPr>
                <w:b/>
                <w:bCs/>
                <w:lang w:val="da-DK"/>
              </w:rPr>
            </w:pPr>
          </w:p>
          <w:p w:rsidR="00D97F0E" w:rsidRPr="00D97F0E" w:rsidRDefault="00D97F0E" w:rsidP="00D97F0E">
            <w:pPr>
              <w:ind w:right="1"/>
              <w:rPr>
                <w:b/>
                <w:bCs/>
                <w:lang w:val="da-DK"/>
              </w:rPr>
            </w:pPr>
          </w:p>
          <w:p w:rsidR="00D97F0E" w:rsidRPr="00D97F0E" w:rsidRDefault="00D97F0E" w:rsidP="00D97F0E">
            <w:pPr>
              <w:ind w:right="1"/>
              <w:rPr>
                <w:b/>
                <w:bCs/>
              </w:rPr>
            </w:pPr>
            <w:r w:rsidRPr="00D97F0E">
              <w:rPr>
                <w:bCs/>
                <w:i/>
              </w:rPr>
              <w:t>Gældende formulering</w:t>
            </w:r>
          </w:p>
        </w:tc>
        <w:tc>
          <w:tcPr>
            <w:tcW w:w="3985" w:type="dxa"/>
          </w:tcPr>
          <w:p w:rsidR="00D97F0E" w:rsidRPr="00D97F0E" w:rsidRDefault="00D97F0E" w:rsidP="00D97F0E">
            <w:pPr>
              <w:ind w:right="1"/>
              <w:rPr>
                <w:b/>
                <w:bCs/>
              </w:rPr>
            </w:pPr>
          </w:p>
          <w:p w:rsidR="00D97F0E" w:rsidRPr="00D97F0E" w:rsidRDefault="00D97F0E" w:rsidP="00D97F0E">
            <w:pPr>
              <w:ind w:right="1"/>
              <w:rPr>
                <w:b/>
                <w:bCs/>
              </w:rPr>
            </w:pPr>
            <w:r w:rsidRPr="00D97F0E">
              <w:rPr>
                <w:b/>
                <w:bCs/>
              </w:rPr>
              <w:t xml:space="preserve"> </w:t>
            </w:r>
          </w:p>
          <w:p w:rsidR="00D97F0E" w:rsidRPr="00D97F0E" w:rsidRDefault="00D97F0E" w:rsidP="00D97F0E">
            <w:pPr>
              <w:ind w:right="1"/>
              <w:rPr>
                <w:bCs/>
                <w:i/>
              </w:rPr>
            </w:pPr>
            <w:r w:rsidRPr="00D97F0E">
              <w:rPr>
                <w:bCs/>
                <w:i/>
              </w:rPr>
              <w:t>Lovforslaget</w:t>
            </w:r>
          </w:p>
          <w:p w:rsidR="00D97F0E" w:rsidRPr="00D97F0E" w:rsidRDefault="00D97F0E" w:rsidP="00D97F0E">
            <w:pPr>
              <w:ind w:right="1"/>
              <w:rPr>
                <w:b/>
                <w:bCs/>
              </w:rPr>
            </w:pPr>
          </w:p>
        </w:tc>
      </w:tr>
      <w:tr w:rsidR="00D969C0" w:rsidRPr="00D97F0E" w:rsidTr="00D97F0E">
        <w:tc>
          <w:tcPr>
            <w:tcW w:w="3984" w:type="dxa"/>
          </w:tcPr>
          <w:p w:rsidR="00D969C0" w:rsidRPr="00D97F0E" w:rsidRDefault="00D969C0" w:rsidP="00DD4B2D">
            <w:pPr>
              <w:ind w:right="1"/>
              <w:jc w:val="center"/>
              <w:rPr>
                <w:b/>
                <w:bCs/>
                <w:lang w:val="da-DK"/>
              </w:rPr>
            </w:pPr>
          </w:p>
        </w:tc>
        <w:tc>
          <w:tcPr>
            <w:tcW w:w="3985" w:type="dxa"/>
          </w:tcPr>
          <w:p w:rsidR="00D969C0" w:rsidRDefault="00D969C0" w:rsidP="00DD4B2D">
            <w:pPr>
              <w:ind w:right="1"/>
              <w:jc w:val="center"/>
              <w:rPr>
                <w:b/>
                <w:bCs/>
              </w:rPr>
            </w:pPr>
            <w:r>
              <w:rPr>
                <w:b/>
                <w:bCs/>
              </w:rPr>
              <w:t>§ 1</w:t>
            </w:r>
          </w:p>
          <w:p w:rsidR="00D969C0" w:rsidRPr="00D97F0E" w:rsidRDefault="00D969C0" w:rsidP="00DD4B2D">
            <w:pPr>
              <w:ind w:right="1"/>
              <w:jc w:val="center"/>
              <w:rPr>
                <w:b/>
                <w:bCs/>
              </w:rPr>
            </w:pPr>
          </w:p>
        </w:tc>
      </w:tr>
      <w:tr w:rsidR="007E3FF7" w:rsidRPr="00361A51" w:rsidTr="00D97F0E">
        <w:tc>
          <w:tcPr>
            <w:tcW w:w="3984" w:type="dxa"/>
          </w:tcPr>
          <w:p w:rsidR="007E3FF7" w:rsidRPr="00D97F0E" w:rsidRDefault="007E3FF7" w:rsidP="00DD4B2D">
            <w:pPr>
              <w:ind w:right="1"/>
              <w:jc w:val="center"/>
              <w:rPr>
                <w:b/>
                <w:bCs/>
                <w:lang w:val="da-DK"/>
              </w:rPr>
            </w:pPr>
          </w:p>
        </w:tc>
        <w:tc>
          <w:tcPr>
            <w:tcW w:w="3985" w:type="dxa"/>
          </w:tcPr>
          <w:p w:rsidR="007E3FF7" w:rsidRPr="00DE30E0" w:rsidRDefault="007E3FF7" w:rsidP="0050796D">
            <w:pPr>
              <w:rPr>
                <w:lang w:val="da-DK"/>
              </w:rPr>
            </w:pPr>
            <w:r w:rsidRPr="00DE30E0">
              <w:rPr>
                <w:rStyle w:val="Fodnotehenvisning"/>
                <w:rFonts w:eastAsia="Arial Unicode MS"/>
                <w:lang w:val="da-DK"/>
              </w:rPr>
              <w:t>I</w:t>
            </w:r>
            <w:r w:rsidRPr="00DE30E0">
              <w:rPr>
                <w:lang w:val="da-DK"/>
              </w:rPr>
              <w:t xml:space="preserve"> lov</w:t>
            </w:r>
            <w:r>
              <w:rPr>
                <w:lang w:val="da-DK"/>
              </w:rPr>
              <w:t xml:space="preserve"> om en børne- og ungeydelse</w:t>
            </w:r>
            <w:r w:rsidRPr="00DE30E0">
              <w:rPr>
                <w:lang w:val="da-DK"/>
              </w:rPr>
              <w:t>, jf. lovbekendtgørelse nr.</w:t>
            </w:r>
            <w:r>
              <w:rPr>
                <w:lang w:val="da-DK"/>
              </w:rPr>
              <w:t xml:space="preserve"> 964 af 19. september 2011</w:t>
            </w:r>
            <w:r w:rsidRPr="00DE30E0">
              <w:rPr>
                <w:lang w:val="da-DK"/>
              </w:rPr>
              <w:t xml:space="preserve">, som ændret ved </w:t>
            </w:r>
            <w:r>
              <w:rPr>
                <w:lang w:val="da-DK"/>
              </w:rPr>
              <w:t>§ 7 i lov nr. 1382 af 28. december 2011, § 9 i lov nr. 326 af 11. april 2012, § 2 i lov nr. 920 af 18. september 2012 og § 2 i lov nr. 1398 af 23. december 2012</w:t>
            </w:r>
            <w:r w:rsidRPr="00DE30E0">
              <w:rPr>
                <w:lang w:val="da-DK"/>
              </w:rPr>
              <w:t>, foretages følgende ændring</w:t>
            </w:r>
            <w:r>
              <w:rPr>
                <w:lang w:val="da-DK"/>
              </w:rPr>
              <w:t>er</w:t>
            </w:r>
            <w:r w:rsidRPr="00DE30E0">
              <w:rPr>
                <w:lang w:val="da-DK"/>
              </w:rPr>
              <w:t>:</w:t>
            </w:r>
          </w:p>
          <w:p w:rsidR="007E3FF7" w:rsidRPr="00DE069F" w:rsidRDefault="007E3FF7" w:rsidP="00DD4B2D">
            <w:pPr>
              <w:ind w:right="1"/>
              <w:jc w:val="center"/>
              <w:rPr>
                <w:b/>
                <w:bCs/>
                <w:lang w:val="da-DK"/>
              </w:rPr>
            </w:pPr>
          </w:p>
        </w:tc>
      </w:tr>
      <w:tr w:rsidR="00D97F0E" w:rsidRPr="00361A51" w:rsidTr="00D97F0E">
        <w:tc>
          <w:tcPr>
            <w:tcW w:w="3984" w:type="dxa"/>
          </w:tcPr>
          <w:p w:rsidR="00EB0820" w:rsidRDefault="0065711F" w:rsidP="00D97F0E">
            <w:pPr>
              <w:ind w:right="1"/>
              <w:rPr>
                <w:bCs/>
                <w:lang w:val="da-DK"/>
              </w:rPr>
            </w:pPr>
            <w:r w:rsidRPr="00DD4B2D">
              <w:rPr>
                <w:b/>
                <w:bCs/>
                <w:lang w:val="da-DK"/>
              </w:rPr>
              <w:t>§ 2.</w:t>
            </w:r>
            <w:r>
              <w:rPr>
                <w:bCs/>
                <w:lang w:val="da-DK"/>
              </w:rPr>
              <w:t xml:space="preserve"> </w:t>
            </w:r>
            <w:r w:rsidR="003E3B34" w:rsidRPr="00DD4B2D">
              <w:rPr>
                <w:bCs/>
                <w:lang w:val="da-DK"/>
              </w:rPr>
              <w:t>Retten til børne- og ungeydelsen er betinget af,</w:t>
            </w:r>
          </w:p>
          <w:p w:rsidR="003E3B34" w:rsidRDefault="00EB0820" w:rsidP="00D97F0E">
            <w:pPr>
              <w:ind w:right="1"/>
              <w:rPr>
                <w:bCs/>
                <w:lang w:val="da-DK"/>
              </w:rPr>
            </w:pPr>
            <w:r>
              <w:rPr>
                <w:bCs/>
                <w:lang w:val="da-DK"/>
              </w:rPr>
              <w:t>(1-6)---</w:t>
            </w:r>
          </w:p>
          <w:p w:rsidR="003E3B34" w:rsidRDefault="003E3B34" w:rsidP="00D97F0E">
            <w:pPr>
              <w:ind w:right="1"/>
              <w:rPr>
                <w:bCs/>
                <w:lang w:val="da-DK"/>
              </w:rPr>
            </w:pPr>
            <w:r>
              <w:rPr>
                <w:bCs/>
                <w:lang w:val="da-DK"/>
              </w:rPr>
              <w:t>7) at mindst en af de personer, der har forsørgelsespligten over for barnet, har haft bopæl eller beskæftigelse her i riget i mindst 2 år inden for de seneste 10 år forud for den periode, udbetalingen vedrører. Hvis kravet i 1. pkt. ikke er opfyldt, udbetales en forholdsmæssig andel af ydelsen efter 3. pkt., hvis betingelserne herfor i øvrigt er opfyldt. Efter 6 måneders bopæl eller beskæftigelse her i riget inden for de seneste 10 år udbetales 25 pct. af ydelsen, efter 12 måneders bopæl eller beskæftigelse her i riget inden for de seneste 10 år udbetales 50 pct. af ydelsen, og efter 18 måneders bopæl eller beskæftigelse her i riget inden for de seneste 10 år udbetales 75 pct. af ydelsen, og</w:t>
            </w:r>
          </w:p>
          <w:p w:rsidR="00D97F0E" w:rsidRDefault="00EB0820" w:rsidP="00B01FFC">
            <w:pPr>
              <w:ind w:right="1"/>
              <w:rPr>
                <w:bCs/>
                <w:lang w:val="da-DK"/>
              </w:rPr>
            </w:pPr>
            <w:r>
              <w:rPr>
                <w:bCs/>
                <w:lang w:val="da-DK"/>
              </w:rPr>
              <w:t>(8)---</w:t>
            </w:r>
          </w:p>
          <w:p w:rsidR="000E6C1D" w:rsidRPr="00B01FFC" w:rsidRDefault="000E6C1D" w:rsidP="00B01FFC">
            <w:pPr>
              <w:ind w:right="1"/>
              <w:rPr>
                <w:bCs/>
                <w:i/>
                <w:lang w:val="da-DK"/>
              </w:rPr>
            </w:pPr>
            <w:r w:rsidRPr="00DE069F">
              <w:rPr>
                <w:bCs/>
                <w:i/>
                <w:lang w:val="da-DK"/>
              </w:rPr>
              <w:t>Stk. 2-3</w:t>
            </w:r>
          </w:p>
        </w:tc>
        <w:tc>
          <w:tcPr>
            <w:tcW w:w="3985" w:type="dxa"/>
          </w:tcPr>
          <w:p w:rsidR="00D969C0" w:rsidRDefault="00D969C0" w:rsidP="00F27802">
            <w:pPr>
              <w:ind w:right="1"/>
              <w:rPr>
                <w:lang w:val="da-DK"/>
              </w:rPr>
            </w:pPr>
            <w:r w:rsidRPr="00DD4B2D">
              <w:rPr>
                <w:b/>
                <w:lang w:val="da-DK"/>
              </w:rPr>
              <w:t>1.</w:t>
            </w:r>
            <w:r>
              <w:rPr>
                <w:lang w:val="da-DK"/>
              </w:rPr>
              <w:t xml:space="preserve"> I</w:t>
            </w:r>
            <w:r w:rsidR="0065711F" w:rsidRPr="00FF50CF">
              <w:rPr>
                <w:i/>
                <w:lang w:val="da-DK"/>
              </w:rPr>
              <w:t xml:space="preserve"> </w:t>
            </w:r>
            <w:r w:rsidR="0065711F" w:rsidRPr="007956F8">
              <w:rPr>
                <w:i/>
                <w:lang w:val="da-DK"/>
              </w:rPr>
              <w:t xml:space="preserve">§ 2, stk. </w:t>
            </w:r>
            <w:r w:rsidR="0065711F">
              <w:rPr>
                <w:i/>
                <w:lang w:val="da-DK"/>
              </w:rPr>
              <w:t>1</w:t>
            </w:r>
            <w:r w:rsidR="0065711F" w:rsidRPr="00FF50CF">
              <w:rPr>
                <w:i/>
                <w:lang w:val="da-DK"/>
              </w:rPr>
              <w:t>, nr. 7, 1. pkt.,</w:t>
            </w:r>
            <w:r w:rsidR="0065711F">
              <w:rPr>
                <w:lang w:val="da-DK"/>
              </w:rPr>
              <w:t xml:space="preserve"> indsættes</w:t>
            </w:r>
            <w:r w:rsidR="0065711F" w:rsidRPr="00370422">
              <w:rPr>
                <w:lang w:val="da-DK"/>
              </w:rPr>
              <w:t xml:space="preserve"> </w:t>
            </w:r>
          </w:p>
          <w:p w:rsidR="00D97F0E" w:rsidRPr="00DD4B2D" w:rsidRDefault="0065711F" w:rsidP="00F27802">
            <w:pPr>
              <w:ind w:right="1"/>
              <w:rPr>
                <w:b/>
                <w:bCs/>
                <w:lang w:val="da-DK"/>
              </w:rPr>
            </w:pPr>
            <w:r w:rsidRPr="00370422">
              <w:rPr>
                <w:lang w:val="da-DK"/>
              </w:rPr>
              <w:t>efter ”</w:t>
            </w:r>
            <w:r>
              <w:rPr>
                <w:lang w:val="da-DK"/>
              </w:rPr>
              <w:t>vedrører</w:t>
            </w:r>
            <w:r w:rsidRPr="00370422">
              <w:rPr>
                <w:lang w:val="da-DK"/>
              </w:rPr>
              <w:t xml:space="preserve">”: ”, </w:t>
            </w:r>
            <w:r>
              <w:rPr>
                <w:lang w:val="da-DK"/>
              </w:rPr>
              <w:t>jf. dog stk. 4”.</w:t>
            </w:r>
          </w:p>
          <w:p w:rsidR="00D97F0E" w:rsidRDefault="00D97F0E" w:rsidP="00227CFC">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ind w:right="1"/>
              <w:rPr>
                <w:b/>
                <w:bCs/>
                <w:lang w:val="da-DK"/>
              </w:rPr>
            </w:pPr>
          </w:p>
          <w:p w:rsidR="0059540D" w:rsidRDefault="0059540D" w:rsidP="0050796D">
            <w:pPr>
              <w:rPr>
                <w:i/>
                <w:lang w:val="da-DK"/>
              </w:rPr>
            </w:pPr>
            <w:r w:rsidRPr="00DD4B2D">
              <w:rPr>
                <w:b/>
                <w:lang w:val="da-DK"/>
              </w:rPr>
              <w:t>2.</w:t>
            </w:r>
            <w:r>
              <w:rPr>
                <w:lang w:val="da-DK"/>
              </w:rPr>
              <w:t xml:space="preserve"> I</w:t>
            </w:r>
            <w:r w:rsidRPr="00DD4B2D">
              <w:rPr>
                <w:i/>
                <w:lang w:val="da-DK"/>
              </w:rPr>
              <w:t xml:space="preserve"> § </w:t>
            </w:r>
            <w:r w:rsidRPr="007812DE">
              <w:rPr>
                <w:i/>
                <w:lang w:val="da-DK"/>
              </w:rPr>
              <w:t>2</w:t>
            </w:r>
            <w:r>
              <w:rPr>
                <w:i/>
                <w:lang w:val="da-DK"/>
              </w:rPr>
              <w:t xml:space="preserve"> </w:t>
            </w:r>
            <w:r w:rsidRPr="00DD4B2D">
              <w:rPr>
                <w:lang w:val="da-DK"/>
              </w:rPr>
              <w:t>indsættes som</w:t>
            </w:r>
            <w:r w:rsidRPr="00DD4B2D">
              <w:rPr>
                <w:i/>
                <w:lang w:val="da-DK"/>
              </w:rPr>
              <w:t xml:space="preserve"> stk. 4:</w:t>
            </w:r>
          </w:p>
          <w:p w:rsidR="0059540D" w:rsidRPr="007812DE" w:rsidRDefault="0059540D" w:rsidP="0050796D">
            <w:pPr>
              <w:rPr>
                <w:b/>
                <w:i/>
                <w:lang w:val="da-DK"/>
              </w:rPr>
            </w:pPr>
            <w:r w:rsidRPr="007812DE">
              <w:rPr>
                <w:b/>
                <w:i/>
                <w:lang w:val="da-DK"/>
              </w:rPr>
              <w:t xml:space="preserve"> </w:t>
            </w:r>
            <w:r>
              <w:rPr>
                <w:lang w:val="da-DK"/>
              </w:rPr>
              <w:t>”</w:t>
            </w:r>
            <w:r w:rsidRPr="009F7D5D">
              <w:rPr>
                <w:i/>
                <w:lang w:val="da-DK"/>
              </w:rPr>
              <w:t>Stk. 4.</w:t>
            </w:r>
            <w:r>
              <w:rPr>
                <w:lang w:val="da-DK"/>
              </w:rPr>
              <w:t xml:space="preserve"> </w:t>
            </w:r>
            <w:r w:rsidRPr="00DD4B2D">
              <w:rPr>
                <w:lang w:val="da-DK"/>
              </w:rPr>
              <w:t>I tilfælde omfattet af Europa-Parlamentets og Rådets forordning (EF) nr. 883/2004 af 29. april 2004 om koordinering af de sociale sikringsordninger finder forordningens artikel 6 om sammenlægning af perioder anvendelse.</w:t>
            </w:r>
            <w:r w:rsidRPr="007812DE">
              <w:rPr>
                <w:lang w:val="da-DK"/>
              </w:rPr>
              <w:t>”</w:t>
            </w:r>
          </w:p>
          <w:p w:rsidR="0059540D" w:rsidRPr="00DD4B2D" w:rsidRDefault="0059540D" w:rsidP="00F27802">
            <w:pPr>
              <w:ind w:right="1"/>
              <w:rPr>
                <w:b/>
                <w:bCs/>
                <w:lang w:val="da-DK"/>
              </w:rPr>
            </w:pPr>
          </w:p>
        </w:tc>
      </w:tr>
      <w:tr w:rsidR="00F834D3" w:rsidRPr="00361A51" w:rsidTr="00D97F0E">
        <w:tc>
          <w:tcPr>
            <w:tcW w:w="3984" w:type="dxa"/>
          </w:tcPr>
          <w:p w:rsidR="00F834D3" w:rsidRPr="00DD4B2D" w:rsidRDefault="00F834D3" w:rsidP="00D97F0E">
            <w:pPr>
              <w:ind w:right="1"/>
              <w:rPr>
                <w:b/>
                <w:bCs/>
                <w:lang w:val="da-DK"/>
              </w:rPr>
            </w:pPr>
          </w:p>
        </w:tc>
        <w:tc>
          <w:tcPr>
            <w:tcW w:w="3985" w:type="dxa"/>
          </w:tcPr>
          <w:p w:rsidR="00F834D3" w:rsidRPr="00DD4B2D" w:rsidRDefault="00F834D3" w:rsidP="0050796D">
            <w:pPr>
              <w:rPr>
                <w:b/>
                <w:bCs/>
                <w:lang w:val="da-DK"/>
              </w:rPr>
            </w:pPr>
          </w:p>
        </w:tc>
      </w:tr>
      <w:tr w:rsidR="007E3FF7" w:rsidRPr="00361A51" w:rsidTr="00D97F0E">
        <w:tc>
          <w:tcPr>
            <w:tcW w:w="3984" w:type="dxa"/>
          </w:tcPr>
          <w:p w:rsidR="007E3FF7" w:rsidRPr="00DD4B2D" w:rsidRDefault="007E3FF7" w:rsidP="00D97F0E">
            <w:pPr>
              <w:ind w:right="1"/>
              <w:rPr>
                <w:b/>
                <w:bCs/>
                <w:lang w:val="da-DK"/>
              </w:rPr>
            </w:pPr>
          </w:p>
        </w:tc>
        <w:tc>
          <w:tcPr>
            <w:tcW w:w="3985" w:type="dxa"/>
          </w:tcPr>
          <w:p w:rsidR="007E3FF7" w:rsidRDefault="007E3FF7" w:rsidP="0050796D">
            <w:pPr>
              <w:rPr>
                <w:lang w:val="da-DK"/>
              </w:rPr>
            </w:pPr>
            <w:r w:rsidRPr="00DE30E0">
              <w:rPr>
                <w:lang w:val="da-DK"/>
              </w:rPr>
              <w:t xml:space="preserve">I </w:t>
            </w:r>
            <w:r>
              <w:rPr>
                <w:lang w:val="da-DK"/>
              </w:rPr>
              <w:t>lov om børnetilskud og forskudsvis udbetaling af børnebidrag</w:t>
            </w:r>
            <w:r w:rsidRPr="00DE30E0">
              <w:rPr>
                <w:lang w:val="da-DK"/>
              </w:rPr>
              <w:t xml:space="preserve">, jf. lovbekendtgørelse nr. </w:t>
            </w:r>
            <w:r w:rsidRPr="00655418">
              <w:rPr>
                <w:lang w:val="da-DK"/>
              </w:rPr>
              <w:t>856</w:t>
            </w:r>
            <w:r>
              <w:rPr>
                <w:lang w:val="da-DK"/>
              </w:rPr>
              <w:t xml:space="preserve"> af 23. august 2012</w:t>
            </w:r>
            <w:r w:rsidRPr="00DE30E0">
              <w:rPr>
                <w:lang w:val="da-DK"/>
              </w:rPr>
              <w:t xml:space="preserve">, som ændret ved </w:t>
            </w:r>
            <w:r>
              <w:rPr>
                <w:lang w:val="da-DK"/>
              </w:rPr>
              <w:t>§ 1 i lov</w:t>
            </w:r>
            <w:r w:rsidRPr="00655418">
              <w:rPr>
                <w:lang w:val="da-DK"/>
              </w:rPr>
              <w:t xml:space="preserve"> nr</w:t>
            </w:r>
            <w:r>
              <w:rPr>
                <w:lang w:val="da-DK"/>
              </w:rPr>
              <w:t>.</w:t>
            </w:r>
            <w:r w:rsidRPr="00655418">
              <w:rPr>
                <w:lang w:val="da-DK"/>
              </w:rPr>
              <w:t xml:space="preserve"> 1398 af 23</w:t>
            </w:r>
            <w:r>
              <w:rPr>
                <w:lang w:val="da-DK"/>
              </w:rPr>
              <w:t xml:space="preserve">. december </w:t>
            </w:r>
            <w:r w:rsidRPr="00655418">
              <w:rPr>
                <w:lang w:val="da-DK"/>
              </w:rPr>
              <w:t>2012</w:t>
            </w:r>
            <w:r>
              <w:rPr>
                <w:lang w:val="da-DK"/>
              </w:rPr>
              <w:t xml:space="preserve"> og § 5 i lov</w:t>
            </w:r>
            <w:r w:rsidRPr="00655418">
              <w:rPr>
                <w:lang w:val="da-DK"/>
              </w:rPr>
              <w:t xml:space="preserve"> nr</w:t>
            </w:r>
            <w:r>
              <w:rPr>
                <w:lang w:val="da-DK"/>
              </w:rPr>
              <w:t>.</w:t>
            </w:r>
            <w:r w:rsidRPr="00655418">
              <w:rPr>
                <w:lang w:val="da-DK"/>
              </w:rPr>
              <w:t xml:space="preserve"> 894 af 4</w:t>
            </w:r>
            <w:r>
              <w:rPr>
                <w:lang w:val="da-DK"/>
              </w:rPr>
              <w:t xml:space="preserve">. juli </w:t>
            </w:r>
            <w:r w:rsidRPr="00655418">
              <w:rPr>
                <w:lang w:val="da-DK"/>
              </w:rPr>
              <w:t>2013</w:t>
            </w:r>
            <w:r w:rsidRPr="00DE30E0">
              <w:rPr>
                <w:lang w:val="da-DK"/>
              </w:rPr>
              <w:t>, foretages følgende ændring</w:t>
            </w:r>
            <w:r>
              <w:rPr>
                <w:lang w:val="da-DK"/>
              </w:rPr>
              <w:t>er</w:t>
            </w:r>
            <w:r w:rsidRPr="00DE30E0">
              <w:rPr>
                <w:lang w:val="da-DK"/>
              </w:rPr>
              <w:t>:</w:t>
            </w:r>
          </w:p>
          <w:p w:rsidR="007E3FF7" w:rsidRPr="00FF50CF" w:rsidRDefault="007E3FF7" w:rsidP="0050796D">
            <w:pPr>
              <w:rPr>
                <w:b/>
                <w:lang w:val="da-DK"/>
              </w:rPr>
            </w:pPr>
          </w:p>
        </w:tc>
      </w:tr>
      <w:tr w:rsidR="00D969C0" w:rsidRPr="00DD4B2D" w:rsidTr="00D97F0E">
        <w:tc>
          <w:tcPr>
            <w:tcW w:w="3984" w:type="dxa"/>
          </w:tcPr>
          <w:p w:rsidR="00D969C0" w:rsidRPr="00DD4B2D" w:rsidRDefault="00D969C0" w:rsidP="00DD4B2D">
            <w:pPr>
              <w:ind w:right="1"/>
              <w:jc w:val="center"/>
              <w:rPr>
                <w:b/>
                <w:bCs/>
                <w:lang w:val="da-DK"/>
              </w:rPr>
            </w:pPr>
          </w:p>
        </w:tc>
        <w:tc>
          <w:tcPr>
            <w:tcW w:w="3985" w:type="dxa"/>
          </w:tcPr>
          <w:p w:rsidR="00D969C0" w:rsidRDefault="00D969C0" w:rsidP="00DD4B2D">
            <w:pPr>
              <w:spacing w:line="288" w:lineRule="auto"/>
              <w:jc w:val="center"/>
              <w:rPr>
                <w:b/>
                <w:lang w:val="da-DK"/>
              </w:rPr>
            </w:pPr>
            <w:r>
              <w:rPr>
                <w:b/>
                <w:lang w:val="da-DK"/>
              </w:rPr>
              <w:t>§ 2</w:t>
            </w:r>
          </w:p>
          <w:p w:rsidR="00C97B33" w:rsidRPr="00FF50CF" w:rsidRDefault="00C97B33" w:rsidP="00DD4B2D">
            <w:pPr>
              <w:spacing w:line="288" w:lineRule="auto"/>
              <w:jc w:val="center"/>
              <w:rPr>
                <w:b/>
                <w:lang w:val="da-DK"/>
              </w:rPr>
            </w:pPr>
          </w:p>
        </w:tc>
      </w:tr>
      <w:tr w:rsidR="00D969C0" w:rsidRPr="00361A51" w:rsidTr="00D97F0E">
        <w:tc>
          <w:tcPr>
            <w:tcW w:w="3984" w:type="dxa"/>
          </w:tcPr>
          <w:p w:rsidR="00D969C0" w:rsidRDefault="00C97B33" w:rsidP="00DD4B2D">
            <w:pPr>
              <w:ind w:right="1"/>
              <w:rPr>
                <w:bCs/>
                <w:lang w:val="da-DK"/>
              </w:rPr>
            </w:pPr>
            <w:r>
              <w:rPr>
                <w:b/>
                <w:bCs/>
                <w:lang w:val="da-DK"/>
              </w:rPr>
              <w:t>§ 5 a</w:t>
            </w:r>
            <w:r>
              <w:rPr>
                <w:bCs/>
                <w:lang w:val="da-DK"/>
              </w:rPr>
              <w:t>. Herudover er det en betingelse for ret til ydelser efter denne lov, at mindst en af de personer, der har forsørgelsespligt over for barnet, har haft bopæl eller beskæftigelse i mindst 2 år her i riget inden for de seneste 10 år forud for den periode, udbetalingen vedrører.</w:t>
            </w:r>
          </w:p>
          <w:p w:rsidR="00C97B33" w:rsidRDefault="00C97B33" w:rsidP="00DD4B2D">
            <w:pPr>
              <w:ind w:right="1"/>
              <w:rPr>
                <w:bCs/>
                <w:lang w:val="da-DK"/>
              </w:rPr>
            </w:pPr>
            <w:r w:rsidRPr="00DD4B2D">
              <w:rPr>
                <w:bCs/>
                <w:i/>
                <w:lang w:val="da-DK"/>
              </w:rPr>
              <w:t>Stk. 2</w:t>
            </w:r>
            <w:r>
              <w:rPr>
                <w:bCs/>
                <w:lang w:val="da-DK"/>
              </w:rPr>
              <w:t>. Hvis kravet i stk. 1 ikke er opfyldt, udbetales følgende forholdsmæssige andel af ydelsen, hvis betingelserne herfor i øvrigt er opfyldt:</w:t>
            </w:r>
          </w:p>
          <w:p w:rsidR="00C97B33" w:rsidRDefault="00C97B33" w:rsidP="00DD4B2D">
            <w:pPr>
              <w:numPr>
                <w:ilvl w:val="0"/>
                <w:numId w:val="14"/>
              </w:numPr>
              <w:ind w:right="1"/>
              <w:rPr>
                <w:bCs/>
                <w:lang w:val="da-DK"/>
              </w:rPr>
            </w:pPr>
            <w:r>
              <w:rPr>
                <w:bCs/>
                <w:lang w:val="da-DK"/>
              </w:rPr>
              <w:t>Efter 6 måneders bopæl eller beskæftigelse her i riget inden for de seneste 10 år udbetales 25 pct. af ydelsen.</w:t>
            </w:r>
          </w:p>
          <w:p w:rsidR="00C97B33" w:rsidRDefault="00C97B33" w:rsidP="00DD4B2D">
            <w:pPr>
              <w:numPr>
                <w:ilvl w:val="0"/>
                <w:numId w:val="14"/>
              </w:numPr>
              <w:ind w:right="1"/>
              <w:rPr>
                <w:bCs/>
                <w:lang w:val="da-DK"/>
              </w:rPr>
            </w:pPr>
            <w:r>
              <w:rPr>
                <w:bCs/>
                <w:lang w:val="da-DK"/>
              </w:rPr>
              <w:t>Efter 12 måneders bopæl eller beskæftigelse her i riget inden for de seneste 10 år udbetales 50 pct. af ydelsen.</w:t>
            </w:r>
          </w:p>
          <w:p w:rsidR="00C97B33" w:rsidRDefault="00C97B33" w:rsidP="00DD4B2D">
            <w:pPr>
              <w:numPr>
                <w:ilvl w:val="0"/>
                <w:numId w:val="14"/>
              </w:numPr>
              <w:ind w:right="1"/>
              <w:rPr>
                <w:bCs/>
                <w:lang w:val="da-DK"/>
              </w:rPr>
            </w:pPr>
            <w:r>
              <w:rPr>
                <w:bCs/>
                <w:lang w:val="da-DK"/>
              </w:rPr>
              <w:t xml:space="preserve">Efter 18 måneders bopæl eller beskæftigelse </w:t>
            </w:r>
            <w:r w:rsidR="00445C6D">
              <w:rPr>
                <w:bCs/>
                <w:lang w:val="da-DK"/>
              </w:rPr>
              <w:t>her i riget inden for de seneste 10 år udbetales 75 pct. af ydelsen.</w:t>
            </w:r>
          </w:p>
          <w:p w:rsidR="00445C6D" w:rsidRDefault="00445C6D" w:rsidP="00DD4B2D">
            <w:pPr>
              <w:ind w:right="1"/>
              <w:rPr>
                <w:bCs/>
                <w:lang w:val="da-DK"/>
              </w:rPr>
            </w:pPr>
            <w:r w:rsidRPr="00DD4B2D">
              <w:rPr>
                <w:bCs/>
                <w:i/>
                <w:lang w:val="da-DK"/>
              </w:rPr>
              <w:t>Stk. 3.</w:t>
            </w:r>
            <w:r>
              <w:rPr>
                <w:bCs/>
                <w:lang w:val="da-DK"/>
              </w:rPr>
              <w:t xml:space="preserve"> Stk. 1 og 2 finder ikke anvendelse for udlændinge, som har fået opholdstilladelse i Danmark efter §§7, 8, eller 9 b i udlændingeloven.</w:t>
            </w:r>
          </w:p>
          <w:p w:rsidR="00445C6D" w:rsidRPr="00DD4B2D" w:rsidRDefault="00445C6D" w:rsidP="00DD4B2D">
            <w:pPr>
              <w:ind w:right="1"/>
              <w:rPr>
                <w:bCs/>
                <w:lang w:val="da-DK"/>
              </w:rPr>
            </w:pPr>
          </w:p>
        </w:tc>
        <w:tc>
          <w:tcPr>
            <w:tcW w:w="3985" w:type="dxa"/>
          </w:tcPr>
          <w:p w:rsidR="00BB3933" w:rsidRDefault="00BB3933" w:rsidP="0050796D">
            <w:pPr>
              <w:rPr>
                <w:lang w:val="da-DK"/>
              </w:rPr>
            </w:pPr>
            <w:r w:rsidRPr="00DD4B2D">
              <w:rPr>
                <w:b/>
                <w:lang w:val="da-DK"/>
              </w:rPr>
              <w:t>1.</w:t>
            </w:r>
            <w:r>
              <w:rPr>
                <w:lang w:val="da-DK"/>
              </w:rPr>
              <w:t xml:space="preserve"> I </w:t>
            </w:r>
            <w:r w:rsidRPr="00DD4B2D">
              <w:rPr>
                <w:i/>
                <w:lang w:val="da-DK"/>
              </w:rPr>
              <w:t>§ 5 a, stk. 1</w:t>
            </w:r>
            <w:r>
              <w:rPr>
                <w:lang w:val="da-DK"/>
              </w:rPr>
              <w:t>, indsættes efter ”vedrører”: ”, jf. dog stk. 4”.</w:t>
            </w:r>
          </w:p>
          <w:p w:rsidR="00BB3933" w:rsidRDefault="00BB3933" w:rsidP="00BB3933">
            <w:pPr>
              <w:spacing w:line="288" w:lineRule="auto"/>
              <w:rPr>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BB3933" w:rsidRDefault="00BB3933" w:rsidP="00BB3933">
            <w:pPr>
              <w:spacing w:line="288" w:lineRule="auto"/>
              <w:rPr>
                <w:b/>
                <w:lang w:val="da-DK"/>
              </w:rPr>
            </w:pPr>
          </w:p>
          <w:p w:rsidR="004815B3" w:rsidRDefault="004815B3" w:rsidP="004815B3">
            <w:pPr>
              <w:spacing w:line="288" w:lineRule="auto"/>
              <w:rPr>
                <w:b/>
                <w:lang w:val="da-DK"/>
              </w:rPr>
            </w:pPr>
          </w:p>
          <w:p w:rsidR="004815B3" w:rsidRDefault="004815B3" w:rsidP="0050796D">
            <w:pPr>
              <w:rPr>
                <w:i/>
                <w:lang w:val="da-DK"/>
              </w:rPr>
            </w:pPr>
            <w:r w:rsidRPr="00DD4B2D">
              <w:rPr>
                <w:b/>
                <w:lang w:val="da-DK"/>
              </w:rPr>
              <w:t>2.</w:t>
            </w:r>
            <w:r>
              <w:rPr>
                <w:lang w:val="da-DK"/>
              </w:rPr>
              <w:t xml:space="preserve"> I </w:t>
            </w:r>
            <w:r w:rsidRPr="00DD4B2D">
              <w:rPr>
                <w:i/>
                <w:lang w:val="da-DK"/>
              </w:rPr>
              <w:t>§ 5 a</w:t>
            </w:r>
            <w:r>
              <w:rPr>
                <w:lang w:val="da-DK"/>
              </w:rPr>
              <w:t xml:space="preserve"> indsættes efter </w:t>
            </w:r>
            <w:r w:rsidRPr="009F7D5D">
              <w:rPr>
                <w:lang w:val="da-DK"/>
              </w:rPr>
              <w:t>stk. 3</w:t>
            </w:r>
            <w:r>
              <w:rPr>
                <w:lang w:val="da-DK"/>
              </w:rPr>
              <w:t xml:space="preserve"> som nyt stykke</w:t>
            </w:r>
            <w:r>
              <w:rPr>
                <w:i/>
                <w:lang w:val="da-DK"/>
              </w:rPr>
              <w:t>:</w:t>
            </w:r>
          </w:p>
          <w:p w:rsidR="004815B3" w:rsidRDefault="004815B3" w:rsidP="0050796D">
            <w:pPr>
              <w:rPr>
                <w:lang w:val="da-DK"/>
              </w:rPr>
            </w:pPr>
            <w:r>
              <w:rPr>
                <w:i/>
                <w:lang w:val="da-DK"/>
              </w:rPr>
              <w:t xml:space="preserve"> </w:t>
            </w:r>
            <w:r>
              <w:rPr>
                <w:lang w:val="da-DK"/>
              </w:rPr>
              <w:t>”</w:t>
            </w:r>
            <w:r w:rsidRPr="009F7D5D">
              <w:rPr>
                <w:i/>
                <w:lang w:val="da-DK"/>
              </w:rPr>
              <w:t>Stk. 4.</w:t>
            </w:r>
            <w:r>
              <w:rPr>
                <w:lang w:val="da-DK"/>
              </w:rPr>
              <w:t xml:space="preserve"> I tilfælde omfattet af Europa-Parlamentets og Rådets forordning (EF) nr. 883/2004 af 29. april 2004 om koordinering af de sociale sikringsordninger finder forordningens artikel 6 om sammenlægning af perioder anvendelse.”</w:t>
            </w:r>
          </w:p>
          <w:p w:rsidR="004815B3" w:rsidRDefault="004815B3" w:rsidP="0050796D">
            <w:pPr>
              <w:rPr>
                <w:lang w:val="da-DK"/>
              </w:rPr>
            </w:pPr>
            <w:r w:rsidRPr="00DD4B2D">
              <w:rPr>
                <w:lang w:val="da-DK"/>
              </w:rPr>
              <w:t xml:space="preserve">Stk. </w:t>
            </w:r>
            <w:r>
              <w:rPr>
                <w:lang w:val="da-DK"/>
              </w:rPr>
              <w:t>4</w:t>
            </w:r>
            <w:r w:rsidRPr="00DD4B2D">
              <w:rPr>
                <w:lang w:val="da-DK"/>
              </w:rPr>
              <w:t xml:space="preserve"> bliver herefter stk. </w:t>
            </w:r>
            <w:r>
              <w:rPr>
                <w:lang w:val="da-DK"/>
              </w:rPr>
              <w:t>5.</w:t>
            </w:r>
          </w:p>
          <w:p w:rsidR="00BD6C12" w:rsidRPr="00FF50CF" w:rsidRDefault="00BD6C12" w:rsidP="0050796D">
            <w:pPr>
              <w:rPr>
                <w:lang w:val="da-DK"/>
              </w:rPr>
            </w:pPr>
          </w:p>
          <w:p w:rsidR="00445C6D" w:rsidRPr="00DD4B2D" w:rsidRDefault="003C237F" w:rsidP="0050796D">
            <w:pPr>
              <w:jc w:val="center"/>
              <w:rPr>
                <w:b/>
                <w:lang w:val="da-DK"/>
              </w:rPr>
            </w:pPr>
            <w:r w:rsidRPr="00DD4B2D">
              <w:rPr>
                <w:b/>
                <w:lang w:val="da-DK"/>
              </w:rPr>
              <w:t>§ 3</w:t>
            </w:r>
          </w:p>
          <w:p w:rsidR="003C237F" w:rsidRPr="00DE30E0" w:rsidRDefault="003C237F" w:rsidP="00F27802">
            <w:pPr>
              <w:rPr>
                <w:i/>
                <w:iCs/>
                <w:lang w:val="da-DK"/>
              </w:rPr>
            </w:pPr>
          </w:p>
          <w:p w:rsidR="00D969C0" w:rsidRDefault="003C237F" w:rsidP="00F27802">
            <w:pPr>
              <w:rPr>
                <w:b/>
                <w:lang w:val="da-DK"/>
              </w:rPr>
            </w:pPr>
            <w:r w:rsidRPr="00DE30E0">
              <w:rPr>
                <w:iCs/>
                <w:lang w:val="da-DK"/>
              </w:rPr>
              <w:t xml:space="preserve">Loven træder i </w:t>
            </w:r>
            <w:r>
              <w:rPr>
                <w:iCs/>
                <w:lang w:val="da-DK"/>
              </w:rPr>
              <w:t>kraft dagen efter bekendtgørelsen i Lovtidende.</w:t>
            </w:r>
            <w:r w:rsidRPr="001211F4">
              <w:rPr>
                <w:lang w:val="da-DK"/>
              </w:rPr>
              <w:t xml:space="preserve"> </w:t>
            </w:r>
          </w:p>
        </w:tc>
      </w:tr>
    </w:tbl>
    <w:p w:rsidR="00D97F0E" w:rsidRPr="00DD4B2D" w:rsidRDefault="00C97B33" w:rsidP="00D97F0E">
      <w:pPr>
        <w:ind w:right="1"/>
        <w:rPr>
          <w:lang w:val="da-DK"/>
        </w:rPr>
      </w:pPr>
      <w:r>
        <w:rPr>
          <w:lang w:val="da-DK"/>
        </w:rPr>
        <w:tab/>
      </w:r>
    </w:p>
    <w:p w:rsidR="00F834D3" w:rsidRPr="00DD4B2D" w:rsidRDefault="00F834D3" w:rsidP="00D97F0E">
      <w:pPr>
        <w:ind w:right="1"/>
        <w:rPr>
          <w:lang w:val="da-DK"/>
        </w:rPr>
      </w:pPr>
    </w:p>
    <w:p w:rsidR="00C938CE" w:rsidRDefault="00C938CE" w:rsidP="00DD4B2D">
      <w:pPr>
        <w:ind w:right="1"/>
        <w:rPr>
          <w:lang w:val="da-DK"/>
        </w:rPr>
      </w:pPr>
    </w:p>
    <w:sectPr w:rsidR="00C938CE" w:rsidSect="00361A51">
      <w:pgSz w:w="11906" w:h="16838"/>
      <w:pgMar w:top="1701" w:right="1134" w:bottom="158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8D" w:rsidRDefault="00574F8D" w:rsidP="00CD6DE5">
      <w:r>
        <w:separator/>
      </w:r>
    </w:p>
  </w:endnote>
  <w:endnote w:type="continuationSeparator" w:id="0">
    <w:p w:rsidR="00574F8D" w:rsidRDefault="00574F8D" w:rsidP="00CD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TLArgoT">
    <w:altName w:val="Arial"/>
    <w:panose1 w:val="00000000000000000000"/>
    <w:charset w:val="00"/>
    <w:family w:val="swiss"/>
    <w:notTrueType/>
    <w:pitch w:val="variable"/>
    <w:sig w:usb0="00000081" w:usb1="00000000" w:usb2="00000000" w:usb3="00000000" w:csb0="00000008"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8D" w:rsidRDefault="00574F8D" w:rsidP="00CD6DE5">
      <w:r>
        <w:separator/>
      </w:r>
    </w:p>
  </w:footnote>
  <w:footnote w:type="continuationSeparator" w:id="0">
    <w:p w:rsidR="00574F8D" w:rsidRDefault="00574F8D" w:rsidP="00CD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56C"/>
    <w:multiLevelType w:val="hybridMultilevel"/>
    <w:tmpl w:val="64E077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B74241B"/>
    <w:multiLevelType w:val="hybridMultilevel"/>
    <w:tmpl w:val="0D6E92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F1B2F52"/>
    <w:multiLevelType w:val="hybridMultilevel"/>
    <w:tmpl w:val="480AF950"/>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A1E2F93"/>
    <w:multiLevelType w:val="hybridMultilevel"/>
    <w:tmpl w:val="64E077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DED38D7"/>
    <w:multiLevelType w:val="hybridMultilevel"/>
    <w:tmpl w:val="774627C0"/>
    <w:lvl w:ilvl="0" w:tplc="5ADAB9E8">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4E45E13"/>
    <w:multiLevelType w:val="hybridMultilevel"/>
    <w:tmpl w:val="AC3AD952"/>
    <w:lvl w:ilvl="0" w:tplc="A490BE3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9D72849"/>
    <w:multiLevelType w:val="hybridMultilevel"/>
    <w:tmpl w:val="64E077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49C5D5A"/>
    <w:multiLevelType w:val="hybridMultilevel"/>
    <w:tmpl w:val="857078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9DE7070"/>
    <w:multiLevelType w:val="hybridMultilevel"/>
    <w:tmpl w:val="60FC0318"/>
    <w:lvl w:ilvl="0" w:tplc="FFFCEBB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AB17C7A"/>
    <w:multiLevelType w:val="hybridMultilevel"/>
    <w:tmpl w:val="BCC4645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EAE0BF4"/>
    <w:multiLevelType w:val="hybridMultilevel"/>
    <w:tmpl w:val="E7A0738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62F5C5E"/>
    <w:multiLevelType w:val="hybridMultilevel"/>
    <w:tmpl w:val="BE4261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65A6A25"/>
    <w:multiLevelType w:val="hybridMultilevel"/>
    <w:tmpl w:val="64E077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3B81935"/>
    <w:multiLevelType w:val="hybridMultilevel"/>
    <w:tmpl w:val="CCE05E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1"/>
  </w:num>
  <w:num w:numId="5">
    <w:abstractNumId w:val="10"/>
  </w:num>
  <w:num w:numId="6">
    <w:abstractNumId w:val="0"/>
  </w:num>
  <w:num w:numId="7">
    <w:abstractNumId w:val="6"/>
  </w:num>
  <w:num w:numId="8">
    <w:abstractNumId w:val="3"/>
  </w:num>
  <w:num w:numId="9">
    <w:abstractNumId w:val="7"/>
  </w:num>
  <w:num w:numId="10">
    <w:abstractNumId w:val="8"/>
  </w:num>
  <w:num w:numId="11">
    <w:abstractNumId w:val="5"/>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oNotTrackMoves/>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E84"/>
    <w:rsid w:val="000016EA"/>
    <w:rsid w:val="0001104F"/>
    <w:rsid w:val="0001556C"/>
    <w:rsid w:val="000229F9"/>
    <w:rsid w:val="000268DF"/>
    <w:rsid w:val="00027F76"/>
    <w:rsid w:val="00030F3F"/>
    <w:rsid w:val="0004485E"/>
    <w:rsid w:val="00044961"/>
    <w:rsid w:val="0005111C"/>
    <w:rsid w:val="000605DB"/>
    <w:rsid w:val="00061AF5"/>
    <w:rsid w:val="00061FEB"/>
    <w:rsid w:val="000700D3"/>
    <w:rsid w:val="0007273E"/>
    <w:rsid w:val="00073202"/>
    <w:rsid w:val="00073CB3"/>
    <w:rsid w:val="00074B40"/>
    <w:rsid w:val="0008446D"/>
    <w:rsid w:val="00086C95"/>
    <w:rsid w:val="000903C9"/>
    <w:rsid w:val="000905C2"/>
    <w:rsid w:val="00093C07"/>
    <w:rsid w:val="00093EA4"/>
    <w:rsid w:val="00094D74"/>
    <w:rsid w:val="00095FAF"/>
    <w:rsid w:val="000978D4"/>
    <w:rsid w:val="000A31C5"/>
    <w:rsid w:val="000A50B5"/>
    <w:rsid w:val="000A5516"/>
    <w:rsid w:val="000A6EA8"/>
    <w:rsid w:val="000B3848"/>
    <w:rsid w:val="000B6CD6"/>
    <w:rsid w:val="000C1FD7"/>
    <w:rsid w:val="000C7809"/>
    <w:rsid w:val="000E6C1D"/>
    <w:rsid w:val="000F4E6F"/>
    <w:rsid w:val="00105774"/>
    <w:rsid w:val="001128BE"/>
    <w:rsid w:val="00113BD9"/>
    <w:rsid w:val="001211F4"/>
    <w:rsid w:val="0012275A"/>
    <w:rsid w:val="001228F7"/>
    <w:rsid w:val="00124034"/>
    <w:rsid w:val="001300FC"/>
    <w:rsid w:val="001319CF"/>
    <w:rsid w:val="00132EB2"/>
    <w:rsid w:val="0013473B"/>
    <w:rsid w:val="001377CC"/>
    <w:rsid w:val="00137FB7"/>
    <w:rsid w:val="00143328"/>
    <w:rsid w:val="00152842"/>
    <w:rsid w:val="00165BCA"/>
    <w:rsid w:val="0016688B"/>
    <w:rsid w:val="0018535B"/>
    <w:rsid w:val="001858B0"/>
    <w:rsid w:val="00190FA5"/>
    <w:rsid w:val="00197702"/>
    <w:rsid w:val="001A3760"/>
    <w:rsid w:val="001A65E8"/>
    <w:rsid w:val="001B36B1"/>
    <w:rsid w:val="001B5C1F"/>
    <w:rsid w:val="001C0039"/>
    <w:rsid w:val="001C493B"/>
    <w:rsid w:val="001C4F83"/>
    <w:rsid w:val="001C5A1A"/>
    <w:rsid w:val="001E7A0A"/>
    <w:rsid w:val="001F1AA8"/>
    <w:rsid w:val="001F5300"/>
    <w:rsid w:val="00204CDF"/>
    <w:rsid w:val="002149D4"/>
    <w:rsid w:val="00221436"/>
    <w:rsid w:val="002252D5"/>
    <w:rsid w:val="00227CFC"/>
    <w:rsid w:val="00242876"/>
    <w:rsid w:val="00244C79"/>
    <w:rsid w:val="00245C0F"/>
    <w:rsid w:val="002606D1"/>
    <w:rsid w:val="0026511A"/>
    <w:rsid w:val="00277849"/>
    <w:rsid w:val="00283D6A"/>
    <w:rsid w:val="00286FCD"/>
    <w:rsid w:val="002C1CB6"/>
    <w:rsid w:val="002C20A6"/>
    <w:rsid w:val="002D54B3"/>
    <w:rsid w:val="002E09FA"/>
    <w:rsid w:val="002E1148"/>
    <w:rsid w:val="002E33CE"/>
    <w:rsid w:val="002E7B6C"/>
    <w:rsid w:val="002F2001"/>
    <w:rsid w:val="002F3751"/>
    <w:rsid w:val="00303141"/>
    <w:rsid w:val="00307552"/>
    <w:rsid w:val="003158AD"/>
    <w:rsid w:val="00315AD1"/>
    <w:rsid w:val="00320230"/>
    <w:rsid w:val="00325252"/>
    <w:rsid w:val="00326DAB"/>
    <w:rsid w:val="003270A8"/>
    <w:rsid w:val="00342B80"/>
    <w:rsid w:val="00342EC5"/>
    <w:rsid w:val="0034666D"/>
    <w:rsid w:val="00346685"/>
    <w:rsid w:val="00352F09"/>
    <w:rsid w:val="003532A6"/>
    <w:rsid w:val="00355BEC"/>
    <w:rsid w:val="0036080F"/>
    <w:rsid w:val="00361A51"/>
    <w:rsid w:val="00362228"/>
    <w:rsid w:val="00366B3F"/>
    <w:rsid w:val="00370422"/>
    <w:rsid w:val="00381050"/>
    <w:rsid w:val="00383F58"/>
    <w:rsid w:val="003850EC"/>
    <w:rsid w:val="00387F25"/>
    <w:rsid w:val="0039023D"/>
    <w:rsid w:val="00390553"/>
    <w:rsid w:val="00392207"/>
    <w:rsid w:val="003A2A84"/>
    <w:rsid w:val="003A36E8"/>
    <w:rsid w:val="003A78DD"/>
    <w:rsid w:val="003C237F"/>
    <w:rsid w:val="003C32BC"/>
    <w:rsid w:val="003C5B01"/>
    <w:rsid w:val="003D3828"/>
    <w:rsid w:val="003D73A8"/>
    <w:rsid w:val="003E09F4"/>
    <w:rsid w:val="003E1696"/>
    <w:rsid w:val="003E3B34"/>
    <w:rsid w:val="003F5E52"/>
    <w:rsid w:val="003F79CD"/>
    <w:rsid w:val="00404367"/>
    <w:rsid w:val="0040504B"/>
    <w:rsid w:val="00405261"/>
    <w:rsid w:val="00406780"/>
    <w:rsid w:val="004204B0"/>
    <w:rsid w:val="00423A38"/>
    <w:rsid w:val="0042418C"/>
    <w:rsid w:val="0042669F"/>
    <w:rsid w:val="00433F67"/>
    <w:rsid w:val="00444EA5"/>
    <w:rsid w:val="00445C6D"/>
    <w:rsid w:val="00445EE8"/>
    <w:rsid w:val="0046029E"/>
    <w:rsid w:val="00467096"/>
    <w:rsid w:val="00467755"/>
    <w:rsid w:val="00471097"/>
    <w:rsid w:val="004815B3"/>
    <w:rsid w:val="004938FB"/>
    <w:rsid w:val="00494FFA"/>
    <w:rsid w:val="00495811"/>
    <w:rsid w:val="004A307D"/>
    <w:rsid w:val="004B1D3E"/>
    <w:rsid w:val="004B3300"/>
    <w:rsid w:val="004B3A83"/>
    <w:rsid w:val="004B572E"/>
    <w:rsid w:val="004C2A9C"/>
    <w:rsid w:val="004C55CB"/>
    <w:rsid w:val="004D3A87"/>
    <w:rsid w:val="004E1AE7"/>
    <w:rsid w:val="004E1DB5"/>
    <w:rsid w:val="004E3A6A"/>
    <w:rsid w:val="0050069A"/>
    <w:rsid w:val="00503B02"/>
    <w:rsid w:val="0050796D"/>
    <w:rsid w:val="005171D0"/>
    <w:rsid w:val="00521FC1"/>
    <w:rsid w:val="0052292B"/>
    <w:rsid w:val="00540550"/>
    <w:rsid w:val="00545258"/>
    <w:rsid w:val="0055027B"/>
    <w:rsid w:val="00553364"/>
    <w:rsid w:val="00556017"/>
    <w:rsid w:val="00567576"/>
    <w:rsid w:val="00574F8D"/>
    <w:rsid w:val="00575509"/>
    <w:rsid w:val="00576E34"/>
    <w:rsid w:val="005774FF"/>
    <w:rsid w:val="00591D84"/>
    <w:rsid w:val="00593308"/>
    <w:rsid w:val="0059540D"/>
    <w:rsid w:val="00595CD4"/>
    <w:rsid w:val="005B3879"/>
    <w:rsid w:val="005C2538"/>
    <w:rsid w:val="005D5CC5"/>
    <w:rsid w:val="005E1912"/>
    <w:rsid w:val="005E2C2C"/>
    <w:rsid w:val="005E6F7D"/>
    <w:rsid w:val="005F1564"/>
    <w:rsid w:val="005F4849"/>
    <w:rsid w:val="00621378"/>
    <w:rsid w:val="006236BE"/>
    <w:rsid w:val="00623D19"/>
    <w:rsid w:val="00630B4A"/>
    <w:rsid w:val="00644708"/>
    <w:rsid w:val="00646A39"/>
    <w:rsid w:val="006511D3"/>
    <w:rsid w:val="00654D5A"/>
    <w:rsid w:val="00655418"/>
    <w:rsid w:val="0065711F"/>
    <w:rsid w:val="00660C1F"/>
    <w:rsid w:val="00660CE6"/>
    <w:rsid w:val="00664133"/>
    <w:rsid w:val="0066628A"/>
    <w:rsid w:val="00674502"/>
    <w:rsid w:val="00676CBC"/>
    <w:rsid w:val="00680207"/>
    <w:rsid w:val="00683F4B"/>
    <w:rsid w:val="0068563E"/>
    <w:rsid w:val="00685F44"/>
    <w:rsid w:val="006920D0"/>
    <w:rsid w:val="006A4C70"/>
    <w:rsid w:val="006B2892"/>
    <w:rsid w:val="006B7DC6"/>
    <w:rsid w:val="006C0C53"/>
    <w:rsid w:val="006C120D"/>
    <w:rsid w:val="006D2B8A"/>
    <w:rsid w:val="006E0985"/>
    <w:rsid w:val="006E6D59"/>
    <w:rsid w:val="006F03B1"/>
    <w:rsid w:val="006F31AB"/>
    <w:rsid w:val="006F3758"/>
    <w:rsid w:val="007025E2"/>
    <w:rsid w:val="0070378D"/>
    <w:rsid w:val="00703A36"/>
    <w:rsid w:val="00712F66"/>
    <w:rsid w:val="007131D1"/>
    <w:rsid w:val="0071487F"/>
    <w:rsid w:val="007203BD"/>
    <w:rsid w:val="007338DD"/>
    <w:rsid w:val="00736EED"/>
    <w:rsid w:val="00737329"/>
    <w:rsid w:val="007406A2"/>
    <w:rsid w:val="00740B3A"/>
    <w:rsid w:val="00743B98"/>
    <w:rsid w:val="00756C98"/>
    <w:rsid w:val="007628FC"/>
    <w:rsid w:val="00772093"/>
    <w:rsid w:val="00772EB2"/>
    <w:rsid w:val="00780F2A"/>
    <w:rsid w:val="007812DE"/>
    <w:rsid w:val="00784E5E"/>
    <w:rsid w:val="007956F8"/>
    <w:rsid w:val="007A58D2"/>
    <w:rsid w:val="007A5C97"/>
    <w:rsid w:val="007B7FF5"/>
    <w:rsid w:val="007C4393"/>
    <w:rsid w:val="007D1195"/>
    <w:rsid w:val="007D3CB0"/>
    <w:rsid w:val="007D4450"/>
    <w:rsid w:val="007E2DEA"/>
    <w:rsid w:val="007E3FF7"/>
    <w:rsid w:val="007E7386"/>
    <w:rsid w:val="007E7FAC"/>
    <w:rsid w:val="007F1300"/>
    <w:rsid w:val="008000CE"/>
    <w:rsid w:val="00800B57"/>
    <w:rsid w:val="008028C2"/>
    <w:rsid w:val="0080560C"/>
    <w:rsid w:val="00815D67"/>
    <w:rsid w:val="00816986"/>
    <w:rsid w:val="00836D2A"/>
    <w:rsid w:val="0084291A"/>
    <w:rsid w:val="00845C0E"/>
    <w:rsid w:val="00847A32"/>
    <w:rsid w:val="008548C2"/>
    <w:rsid w:val="0085561A"/>
    <w:rsid w:val="00864122"/>
    <w:rsid w:val="008651C1"/>
    <w:rsid w:val="00870347"/>
    <w:rsid w:val="00872109"/>
    <w:rsid w:val="008733CC"/>
    <w:rsid w:val="008844CD"/>
    <w:rsid w:val="00886185"/>
    <w:rsid w:val="00890D30"/>
    <w:rsid w:val="008936DE"/>
    <w:rsid w:val="0089380E"/>
    <w:rsid w:val="008A60B6"/>
    <w:rsid w:val="008B77FE"/>
    <w:rsid w:val="008C20F8"/>
    <w:rsid w:val="008C481B"/>
    <w:rsid w:val="008C64A5"/>
    <w:rsid w:val="008D7887"/>
    <w:rsid w:val="008F719A"/>
    <w:rsid w:val="00905E3F"/>
    <w:rsid w:val="00910C6A"/>
    <w:rsid w:val="00911C9F"/>
    <w:rsid w:val="00916D7C"/>
    <w:rsid w:val="00916DC6"/>
    <w:rsid w:val="00921793"/>
    <w:rsid w:val="00927B17"/>
    <w:rsid w:val="00930E84"/>
    <w:rsid w:val="009339FA"/>
    <w:rsid w:val="00935DCF"/>
    <w:rsid w:val="0094396F"/>
    <w:rsid w:val="00945CC8"/>
    <w:rsid w:val="00947BDB"/>
    <w:rsid w:val="00951753"/>
    <w:rsid w:val="00951CB1"/>
    <w:rsid w:val="0096303D"/>
    <w:rsid w:val="009733A4"/>
    <w:rsid w:val="009744BF"/>
    <w:rsid w:val="00974899"/>
    <w:rsid w:val="00980000"/>
    <w:rsid w:val="00980AD4"/>
    <w:rsid w:val="00981123"/>
    <w:rsid w:val="00982735"/>
    <w:rsid w:val="00984008"/>
    <w:rsid w:val="00984D79"/>
    <w:rsid w:val="00992EA8"/>
    <w:rsid w:val="009A59AD"/>
    <w:rsid w:val="009B6C03"/>
    <w:rsid w:val="009C7023"/>
    <w:rsid w:val="009E1C33"/>
    <w:rsid w:val="009E724C"/>
    <w:rsid w:val="009F7133"/>
    <w:rsid w:val="00A01FDF"/>
    <w:rsid w:val="00A07CDC"/>
    <w:rsid w:val="00A11993"/>
    <w:rsid w:val="00A11FB0"/>
    <w:rsid w:val="00A259D7"/>
    <w:rsid w:val="00A31131"/>
    <w:rsid w:val="00A36252"/>
    <w:rsid w:val="00A41CE7"/>
    <w:rsid w:val="00A43AFF"/>
    <w:rsid w:val="00A5107B"/>
    <w:rsid w:val="00A64041"/>
    <w:rsid w:val="00A6745E"/>
    <w:rsid w:val="00A67659"/>
    <w:rsid w:val="00A67ED7"/>
    <w:rsid w:val="00A7184F"/>
    <w:rsid w:val="00A736C3"/>
    <w:rsid w:val="00A839DA"/>
    <w:rsid w:val="00A83C8B"/>
    <w:rsid w:val="00A85FCE"/>
    <w:rsid w:val="00A9327B"/>
    <w:rsid w:val="00A94B0D"/>
    <w:rsid w:val="00AA1E01"/>
    <w:rsid w:val="00AA4130"/>
    <w:rsid w:val="00AB1B9B"/>
    <w:rsid w:val="00AB1E1F"/>
    <w:rsid w:val="00AB3EDF"/>
    <w:rsid w:val="00AB6A14"/>
    <w:rsid w:val="00AB7945"/>
    <w:rsid w:val="00AC2CA7"/>
    <w:rsid w:val="00AC3561"/>
    <w:rsid w:val="00AC6EC3"/>
    <w:rsid w:val="00AD1CC7"/>
    <w:rsid w:val="00AD1F15"/>
    <w:rsid w:val="00AD75C5"/>
    <w:rsid w:val="00AE3BFB"/>
    <w:rsid w:val="00AF5D28"/>
    <w:rsid w:val="00B01FFC"/>
    <w:rsid w:val="00B03C0F"/>
    <w:rsid w:val="00B05A20"/>
    <w:rsid w:val="00B12E68"/>
    <w:rsid w:val="00B14953"/>
    <w:rsid w:val="00B14F30"/>
    <w:rsid w:val="00B34307"/>
    <w:rsid w:val="00B37674"/>
    <w:rsid w:val="00B47DC4"/>
    <w:rsid w:val="00B5381D"/>
    <w:rsid w:val="00B5624A"/>
    <w:rsid w:val="00B61690"/>
    <w:rsid w:val="00B63D4F"/>
    <w:rsid w:val="00B6577E"/>
    <w:rsid w:val="00B74067"/>
    <w:rsid w:val="00B80215"/>
    <w:rsid w:val="00B862D8"/>
    <w:rsid w:val="00B93B7E"/>
    <w:rsid w:val="00B93D79"/>
    <w:rsid w:val="00B94749"/>
    <w:rsid w:val="00BA0F21"/>
    <w:rsid w:val="00BA7ECC"/>
    <w:rsid w:val="00BB203D"/>
    <w:rsid w:val="00BB3374"/>
    <w:rsid w:val="00BB3933"/>
    <w:rsid w:val="00BB7111"/>
    <w:rsid w:val="00BB7C71"/>
    <w:rsid w:val="00BC1A1B"/>
    <w:rsid w:val="00BC258E"/>
    <w:rsid w:val="00BC25BD"/>
    <w:rsid w:val="00BC32DE"/>
    <w:rsid w:val="00BD6C12"/>
    <w:rsid w:val="00BE35DB"/>
    <w:rsid w:val="00BE5E9B"/>
    <w:rsid w:val="00BE6B24"/>
    <w:rsid w:val="00BF0FFE"/>
    <w:rsid w:val="00C105CB"/>
    <w:rsid w:val="00C12BD6"/>
    <w:rsid w:val="00C20A31"/>
    <w:rsid w:val="00C218A9"/>
    <w:rsid w:val="00C252E5"/>
    <w:rsid w:val="00C3304F"/>
    <w:rsid w:val="00C33190"/>
    <w:rsid w:val="00C54E42"/>
    <w:rsid w:val="00C57151"/>
    <w:rsid w:val="00C64DDA"/>
    <w:rsid w:val="00C72ED1"/>
    <w:rsid w:val="00C748DC"/>
    <w:rsid w:val="00C775DB"/>
    <w:rsid w:val="00C81EE2"/>
    <w:rsid w:val="00C86884"/>
    <w:rsid w:val="00C92D4F"/>
    <w:rsid w:val="00C938CE"/>
    <w:rsid w:val="00C953C0"/>
    <w:rsid w:val="00C97B33"/>
    <w:rsid w:val="00CA438E"/>
    <w:rsid w:val="00CA5BEC"/>
    <w:rsid w:val="00CA6D46"/>
    <w:rsid w:val="00CA70F7"/>
    <w:rsid w:val="00CB1714"/>
    <w:rsid w:val="00CB5771"/>
    <w:rsid w:val="00CD69B8"/>
    <w:rsid w:val="00CD6DE5"/>
    <w:rsid w:val="00CF1837"/>
    <w:rsid w:val="00CF6AFF"/>
    <w:rsid w:val="00D02B0F"/>
    <w:rsid w:val="00D02E8A"/>
    <w:rsid w:val="00D071AD"/>
    <w:rsid w:val="00D07BEF"/>
    <w:rsid w:val="00D257CF"/>
    <w:rsid w:val="00D3374C"/>
    <w:rsid w:val="00D35B79"/>
    <w:rsid w:val="00D412A9"/>
    <w:rsid w:val="00D43A64"/>
    <w:rsid w:val="00D576BE"/>
    <w:rsid w:val="00D612A8"/>
    <w:rsid w:val="00D61361"/>
    <w:rsid w:val="00D63F0A"/>
    <w:rsid w:val="00D71199"/>
    <w:rsid w:val="00D715CD"/>
    <w:rsid w:val="00D72C37"/>
    <w:rsid w:val="00D75200"/>
    <w:rsid w:val="00D94A2F"/>
    <w:rsid w:val="00D96713"/>
    <w:rsid w:val="00D969C0"/>
    <w:rsid w:val="00D97F0E"/>
    <w:rsid w:val="00DA1542"/>
    <w:rsid w:val="00DA34B3"/>
    <w:rsid w:val="00DA4366"/>
    <w:rsid w:val="00DA4832"/>
    <w:rsid w:val="00DA59B7"/>
    <w:rsid w:val="00DB4BF1"/>
    <w:rsid w:val="00DC0045"/>
    <w:rsid w:val="00DC1D23"/>
    <w:rsid w:val="00DD07BA"/>
    <w:rsid w:val="00DD4B2D"/>
    <w:rsid w:val="00DD6BB4"/>
    <w:rsid w:val="00DD7844"/>
    <w:rsid w:val="00DE069F"/>
    <w:rsid w:val="00DE30E0"/>
    <w:rsid w:val="00DE3E86"/>
    <w:rsid w:val="00DE47F9"/>
    <w:rsid w:val="00DF1B06"/>
    <w:rsid w:val="00DF6D36"/>
    <w:rsid w:val="00DF7115"/>
    <w:rsid w:val="00E00444"/>
    <w:rsid w:val="00E029A4"/>
    <w:rsid w:val="00E06348"/>
    <w:rsid w:val="00E06696"/>
    <w:rsid w:val="00E15E7E"/>
    <w:rsid w:val="00E164D8"/>
    <w:rsid w:val="00E17AEB"/>
    <w:rsid w:val="00E20C97"/>
    <w:rsid w:val="00E22D21"/>
    <w:rsid w:val="00E30C98"/>
    <w:rsid w:val="00E35EBF"/>
    <w:rsid w:val="00E37010"/>
    <w:rsid w:val="00E404EF"/>
    <w:rsid w:val="00E54C5D"/>
    <w:rsid w:val="00E54EA6"/>
    <w:rsid w:val="00E63079"/>
    <w:rsid w:val="00E678D5"/>
    <w:rsid w:val="00E8186C"/>
    <w:rsid w:val="00E8240E"/>
    <w:rsid w:val="00E874E2"/>
    <w:rsid w:val="00E9101E"/>
    <w:rsid w:val="00E93475"/>
    <w:rsid w:val="00EA1B0A"/>
    <w:rsid w:val="00EA32E8"/>
    <w:rsid w:val="00EA33C1"/>
    <w:rsid w:val="00EB0820"/>
    <w:rsid w:val="00EB7D74"/>
    <w:rsid w:val="00EC064F"/>
    <w:rsid w:val="00EC2A91"/>
    <w:rsid w:val="00EC3E53"/>
    <w:rsid w:val="00EC429F"/>
    <w:rsid w:val="00EC450C"/>
    <w:rsid w:val="00EC717B"/>
    <w:rsid w:val="00EE0F57"/>
    <w:rsid w:val="00EE2622"/>
    <w:rsid w:val="00EE75E4"/>
    <w:rsid w:val="00EF78DF"/>
    <w:rsid w:val="00F01661"/>
    <w:rsid w:val="00F02581"/>
    <w:rsid w:val="00F025A2"/>
    <w:rsid w:val="00F0670E"/>
    <w:rsid w:val="00F06F34"/>
    <w:rsid w:val="00F10E94"/>
    <w:rsid w:val="00F15876"/>
    <w:rsid w:val="00F27802"/>
    <w:rsid w:val="00F318AD"/>
    <w:rsid w:val="00F329BB"/>
    <w:rsid w:val="00F45ED9"/>
    <w:rsid w:val="00F47560"/>
    <w:rsid w:val="00F54504"/>
    <w:rsid w:val="00F61666"/>
    <w:rsid w:val="00F621BE"/>
    <w:rsid w:val="00F625D0"/>
    <w:rsid w:val="00F64850"/>
    <w:rsid w:val="00F65D21"/>
    <w:rsid w:val="00F804A4"/>
    <w:rsid w:val="00F834D3"/>
    <w:rsid w:val="00F874F6"/>
    <w:rsid w:val="00FA0C8E"/>
    <w:rsid w:val="00FA2C1D"/>
    <w:rsid w:val="00FA5727"/>
    <w:rsid w:val="00FB071B"/>
    <w:rsid w:val="00FB0728"/>
    <w:rsid w:val="00FB4BE0"/>
    <w:rsid w:val="00FC109F"/>
    <w:rsid w:val="00FF19C1"/>
    <w:rsid w:val="00FF1E06"/>
    <w:rsid w:val="00FF56DF"/>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C0"/>
    <w:rPr>
      <w:sz w:val="24"/>
      <w:szCs w:val="24"/>
      <w:lang w:val="en-GB" w:eastAsia="en-US"/>
    </w:rPr>
  </w:style>
  <w:style w:type="paragraph" w:styleId="Overskrift2">
    <w:name w:val="heading 2"/>
    <w:basedOn w:val="Normal"/>
    <w:next w:val="Normal"/>
    <w:link w:val="Overskrift2Tegn"/>
    <w:semiHidden/>
    <w:unhideWhenUsed/>
    <w:qFormat/>
    <w:rsid w:val="000268DF"/>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jc w:val="both"/>
      <w:outlineLvl w:val="1"/>
    </w:pPr>
    <w:rPr>
      <w:rFonts w:ascii="Arial" w:eastAsia="Arial Unicode MS" w:hAnsi="Arial" w:cs="Arial"/>
      <w:sz w:val="3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semiHidden/>
    <w:rsid w:val="000268DF"/>
    <w:rPr>
      <w:rFonts w:ascii="Arial" w:eastAsia="Arial Unicode MS" w:hAnsi="Arial" w:cs="Arial"/>
      <w:sz w:val="30"/>
      <w:szCs w:val="24"/>
    </w:rPr>
  </w:style>
  <w:style w:type="character" w:styleId="Hyperlink">
    <w:name w:val="Hyperlink"/>
    <w:unhideWhenUsed/>
    <w:rsid w:val="000268DF"/>
    <w:rPr>
      <w:color w:val="0000FF"/>
      <w:u w:val="single"/>
    </w:rPr>
  </w:style>
  <w:style w:type="paragraph" w:styleId="Fodnotetekst">
    <w:name w:val="footnote text"/>
    <w:basedOn w:val="Normal"/>
    <w:link w:val="FodnotetekstTegn"/>
    <w:unhideWhenUsed/>
    <w:rsid w:val="000268DF"/>
    <w:pPr>
      <w:widowControl w:val="0"/>
      <w:autoSpaceDE w:val="0"/>
      <w:autoSpaceDN w:val="0"/>
      <w:adjustRightInd w:val="0"/>
    </w:pPr>
    <w:rPr>
      <w:sz w:val="20"/>
      <w:szCs w:val="20"/>
      <w:lang w:val="da-DK" w:eastAsia="da-DK"/>
    </w:rPr>
  </w:style>
  <w:style w:type="character" w:customStyle="1" w:styleId="FodnotetekstTegn">
    <w:name w:val="Fodnotetekst Tegn"/>
    <w:basedOn w:val="Standardskrifttypeiafsnit"/>
    <w:link w:val="Fodnotetekst"/>
    <w:rsid w:val="000268DF"/>
  </w:style>
  <w:style w:type="paragraph" w:styleId="Sidefod">
    <w:name w:val="footer"/>
    <w:basedOn w:val="Normal"/>
    <w:link w:val="SidefodTegn"/>
    <w:unhideWhenUsed/>
    <w:rsid w:val="000268DF"/>
    <w:pPr>
      <w:widowControl w:val="0"/>
      <w:tabs>
        <w:tab w:val="center" w:pos="4819"/>
        <w:tab w:val="right" w:pos="9638"/>
      </w:tabs>
      <w:autoSpaceDE w:val="0"/>
      <w:autoSpaceDN w:val="0"/>
      <w:adjustRightInd w:val="0"/>
    </w:pPr>
    <w:rPr>
      <w:sz w:val="20"/>
      <w:lang w:val="da-DK" w:eastAsia="da-DK"/>
    </w:rPr>
  </w:style>
  <w:style w:type="character" w:customStyle="1" w:styleId="SidefodTegn">
    <w:name w:val="Sidefod Tegn"/>
    <w:link w:val="Sidefod"/>
    <w:rsid w:val="000268DF"/>
    <w:rPr>
      <w:szCs w:val="24"/>
    </w:rPr>
  </w:style>
  <w:style w:type="character" w:styleId="Fodnotehenvisning">
    <w:name w:val="footnote reference"/>
    <w:semiHidden/>
    <w:unhideWhenUsed/>
    <w:rsid w:val="000268DF"/>
  </w:style>
  <w:style w:type="paragraph" w:styleId="Markeringsbobletekst">
    <w:name w:val="Balloon Text"/>
    <w:basedOn w:val="Normal"/>
    <w:link w:val="MarkeringsbobletekstTegn"/>
    <w:uiPriority w:val="99"/>
    <w:semiHidden/>
    <w:unhideWhenUsed/>
    <w:rsid w:val="00DE30E0"/>
    <w:rPr>
      <w:rFonts w:ascii="Tahoma" w:hAnsi="Tahoma" w:cs="Tahoma"/>
      <w:sz w:val="16"/>
      <w:szCs w:val="16"/>
    </w:rPr>
  </w:style>
  <w:style w:type="character" w:customStyle="1" w:styleId="MarkeringsbobletekstTegn">
    <w:name w:val="Markeringsbobletekst Tegn"/>
    <w:link w:val="Markeringsbobletekst"/>
    <w:uiPriority w:val="99"/>
    <w:semiHidden/>
    <w:rsid w:val="00DE30E0"/>
    <w:rPr>
      <w:rFonts w:ascii="Tahoma" w:hAnsi="Tahoma" w:cs="Tahoma"/>
      <w:sz w:val="16"/>
      <w:szCs w:val="16"/>
      <w:lang w:val="en-GB" w:eastAsia="en-US"/>
    </w:rPr>
  </w:style>
  <w:style w:type="character" w:styleId="Kommentarhenvisning">
    <w:name w:val="annotation reference"/>
    <w:uiPriority w:val="99"/>
    <w:semiHidden/>
    <w:unhideWhenUsed/>
    <w:rsid w:val="00E54C5D"/>
    <w:rPr>
      <w:sz w:val="16"/>
      <w:szCs w:val="16"/>
    </w:rPr>
  </w:style>
  <w:style w:type="paragraph" w:styleId="Kommentartekst">
    <w:name w:val="annotation text"/>
    <w:basedOn w:val="Normal"/>
    <w:link w:val="KommentartekstTegn"/>
    <w:uiPriority w:val="99"/>
    <w:semiHidden/>
    <w:unhideWhenUsed/>
    <w:rsid w:val="00E54C5D"/>
    <w:rPr>
      <w:sz w:val="20"/>
      <w:szCs w:val="20"/>
    </w:rPr>
  </w:style>
  <w:style w:type="character" w:customStyle="1" w:styleId="KommentartekstTegn">
    <w:name w:val="Kommentartekst Tegn"/>
    <w:link w:val="Kommentartekst"/>
    <w:uiPriority w:val="99"/>
    <w:semiHidden/>
    <w:rsid w:val="00E54C5D"/>
    <w:rPr>
      <w:lang w:val="en-GB" w:eastAsia="en-US"/>
    </w:rPr>
  </w:style>
  <w:style w:type="paragraph" w:styleId="Kommentaremne">
    <w:name w:val="annotation subject"/>
    <w:basedOn w:val="Kommentartekst"/>
    <w:next w:val="Kommentartekst"/>
    <w:link w:val="KommentaremneTegn"/>
    <w:uiPriority w:val="99"/>
    <w:semiHidden/>
    <w:unhideWhenUsed/>
    <w:rsid w:val="00E54C5D"/>
    <w:rPr>
      <w:b/>
      <w:bCs/>
    </w:rPr>
  </w:style>
  <w:style w:type="character" w:customStyle="1" w:styleId="KommentaremneTegn">
    <w:name w:val="Kommentaremne Tegn"/>
    <w:link w:val="Kommentaremne"/>
    <w:uiPriority w:val="99"/>
    <w:semiHidden/>
    <w:rsid w:val="00E54C5D"/>
    <w:rPr>
      <w:b/>
      <w:bCs/>
      <w:lang w:val="en-GB" w:eastAsia="en-US"/>
    </w:rPr>
  </w:style>
  <w:style w:type="paragraph" w:styleId="Korrektur">
    <w:name w:val="Revision"/>
    <w:hidden/>
    <w:uiPriority w:val="99"/>
    <w:semiHidden/>
    <w:rsid w:val="00D43A64"/>
    <w:rPr>
      <w:sz w:val="24"/>
      <w:szCs w:val="24"/>
      <w:lang w:val="en-GB" w:eastAsia="en-US"/>
    </w:rPr>
  </w:style>
  <w:style w:type="paragraph" w:customStyle="1" w:styleId="paragraf">
    <w:name w:val="paragraf"/>
    <w:basedOn w:val="Normal"/>
    <w:rsid w:val="00EC717B"/>
    <w:pPr>
      <w:spacing w:before="200"/>
      <w:ind w:firstLine="240"/>
    </w:pPr>
    <w:rPr>
      <w:rFonts w:ascii="Tahoma" w:hAnsi="Tahoma" w:cs="Tahoma"/>
      <w:color w:val="000000"/>
      <w:lang w:val="da-DK" w:eastAsia="da-DK"/>
    </w:rPr>
  </w:style>
  <w:style w:type="paragraph" w:customStyle="1" w:styleId="stk2">
    <w:name w:val="stk2"/>
    <w:basedOn w:val="Normal"/>
    <w:rsid w:val="00EC717B"/>
    <w:pPr>
      <w:ind w:firstLine="240"/>
    </w:pPr>
    <w:rPr>
      <w:rFonts w:ascii="Tahoma" w:hAnsi="Tahoma" w:cs="Tahoma"/>
      <w:color w:val="000000"/>
      <w:lang w:val="da-DK" w:eastAsia="da-DK"/>
    </w:rPr>
  </w:style>
  <w:style w:type="paragraph" w:customStyle="1" w:styleId="liste1">
    <w:name w:val="liste1"/>
    <w:basedOn w:val="Normal"/>
    <w:rsid w:val="00EC717B"/>
    <w:pPr>
      <w:ind w:left="280"/>
    </w:pPr>
    <w:rPr>
      <w:rFonts w:ascii="Tahoma" w:hAnsi="Tahoma" w:cs="Tahoma"/>
      <w:color w:val="000000"/>
      <w:lang w:val="da-DK" w:eastAsia="da-DK"/>
    </w:rPr>
  </w:style>
  <w:style w:type="character" w:customStyle="1" w:styleId="paragrafnr1">
    <w:name w:val="paragrafnr1"/>
    <w:rsid w:val="00EC717B"/>
    <w:rPr>
      <w:rFonts w:ascii="Tahoma" w:hAnsi="Tahoma" w:cs="Tahoma" w:hint="default"/>
      <w:b/>
      <w:bCs/>
      <w:color w:val="000000"/>
      <w:sz w:val="24"/>
      <w:szCs w:val="24"/>
      <w:shd w:val="clear" w:color="auto" w:fill="auto"/>
    </w:rPr>
  </w:style>
  <w:style w:type="character" w:customStyle="1" w:styleId="stknr1">
    <w:name w:val="stknr1"/>
    <w:rsid w:val="00EC717B"/>
    <w:rPr>
      <w:rFonts w:ascii="Tahoma" w:hAnsi="Tahoma" w:cs="Tahoma" w:hint="default"/>
      <w:i/>
      <w:iCs/>
      <w:color w:val="000000"/>
      <w:sz w:val="24"/>
      <w:szCs w:val="24"/>
      <w:shd w:val="clear" w:color="auto" w:fill="auto"/>
    </w:rPr>
  </w:style>
  <w:style w:type="character" w:customStyle="1" w:styleId="liste1nr1">
    <w:name w:val="liste1nr1"/>
    <w:rsid w:val="00EC717B"/>
    <w:rPr>
      <w:rFonts w:ascii="Tahoma" w:hAnsi="Tahoma" w:cs="Tahoma" w:hint="default"/>
      <w:color w:val="000000"/>
      <w:sz w:val="24"/>
      <w:szCs w:val="24"/>
      <w:shd w:val="clear" w:color="auto" w:fill="auto"/>
    </w:rPr>
  </w:style>
  <w:style w:type="paragraph" w:customStyle="1" w:styleId="TabelTal">
    <w:name w:val="TabelTal"/>
    <w:basedOn w:val="Normal"/>
    <w:rsid w:val="00F0670E"/>
    <w:pPr>
      <w:spacing w:line="280" w:lineRule="atLeast"/>
      <w:jc w:val="right"/>
    </w:pPr>
    <w:rPr>
      <w:rFonts w:ascii="DTLArgoT" w:eastAsia="Calibri" w:hAnsi="DTLArgoT"/>
      <w:sz w:val="17"/>
      <w:szCs w:val="22"/>
      <w:lang w:val="da-DK" w:eastAsia="da-DK"/>
    </w:rPr>
  </w:style>
  <w:style w:type="paragraph" w:customStyle="1" w:styleId="Normal-Tabeltal">
    <w:name w:val="Normal - Tabel tal"/>
    <w:basedOn w:val="Normal"/>
    <w:rsid w:val="00F0670E"/>
    <w:pPr>
      <w:tabs>
        <w:tab w:val="left" w:pos="340"/>
      </w:tabs>
      <w:spacing w:line="150" w:lineRule="atLeast"/>
      <w:ind w:left="57" w:right="57"/>
      <w:jc w:val="right"/>
    </w:pPr>
    <w:rPr>
      <w:rFonts w:ascii="Arial" w:eastAsia="Calibri" w:hAnsi="Arial"/>
      <w:sz w:val="14"/>
      <w:szCs w:val="22"/>
      <w:lang w:val="da-DK"/>
    </w:rPr>
  </w:style>
  <w:style w:type="paragraph" w:customStyle="1" w:styleId="Normal-Tabeltekst">
    <w:name w:val="Normal - Tabel tekst"/>
    <w:basedOn w:val="Normal"/>
    <w:rsid w:val="00F0670E"/>
    <w:pPr>
      <w:tabs>
        <w:tab w:val="left" w:pos="340"/>
      </w:tabs>
      <w:spacing w:line="150" w:lineRule="atLeast"/>
      <w:ind w:right="57"/>
      <w:jc w:val="both"/>
    </w:pPr>
    <w:rPr>
      <w:rFonts w:ascii="Arial" w:eastAsia="Calibri" w:hAnsi="Arial"/>
      <w:sz w:val="14"/>
      <w:szCs w:val="22"/>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5505">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9">
          <w:marLeft w:val="0"/>
          <w:marRight w:val="0"/>
          <w:marTop w:val="300"/>
          <w:marBottom w:val="300"/>
          <w:divBdr>
            <w:top w:val="none" w:sz="0" w:space="0" w:color="auto"/>
            <w:left w:val="none" w:sz="0" w:space="0" w:color="auto"/>
            <w:bottom w:val="none" w:sz="0" w:space="0" w:color="auto"/>
            <w:right w:val="none" w:sz="0" w:space="0" w:color="auto"/>
          </w:divBdr>
          <w:divsChild>
            <w:div w:id="409040196">
              <w:marLeft w:val="0"/>
              <w:marRight w:val="0"/>
              <w:marTop w:val="0"/>
              <w:marBottom w:val="0"/>
              <w:divBdr>
                <w:top w:val="none" w:sz="0" w:space="0" w:color="auto"/>
                <w:left w:val="none" w:sz="0" w:space="0" w:color="auto"/>
                <w:bottom w:val="none" w:sz="0" w:space="0" w:color="auto"/>
                <w:right w:val="none" w:sz="0" w:space="0" w:color="auto"/>
              </w:divBdr>
              <w:divsChild>
                <w:div w:id="736978992">
                  <w:marLeft w:val="0"/>
                  <w:marRight w:val="0"/>
                  <w:marTop w:val="0"/>
                  <w:marBottom w:val="0"/>
                  <w:divBdr>
                    <w:top w:val="none" w:sz="0" w:space="0" w:color="auto"/>
                    <w:left w:val="none" w:sz="0" w:space="0" w:color="auto"/>
                    <w:bottom w:val="none" w:sz="0" w:space="0" w:color="auto"/>
                    <w:right w:val="none" w:sz="0" w:space="0" w:color="auto"/>
                  </w:divBdr>
                  <w:divsChild>
                    <w:div w:id="188027856">
                      <w:marLeft w:val="0"/>
                      <w:marRight w:val="0"/>
                      <w:marTop w:val="0"/>
                      <w:marBottom w:val="0"/>
                      <w:divBdr>
                        <w:top w:val="none" w:sz="0" w:space="0" w:color="auto"/>
                        <w:left w:val="none" w:sz="0" w:space="0" w:color="auto"/>
                        <w:bottom w:val="none" w:sz="0" w:space="0" w:color="auto"/>
                        <w:right w:val="none" w:sz="0" w:space="0" w:color="auto"/>
                      </w:divBdr>
                      <w:divsChild>
                        <w:div w:id="1962033614">
                          <w:marLeft w:val="0"/>
                          <w:marRight w:val="0"/>
                          <w:marTop w:val="0"/>
                          <w:marBottom w:val="0"/>
                          <w:divBdr>
                            <w:top w:val="none" w:sz="0" w:space="0" w:color="auto"/>
                            <w:left w:val="none" w:sz="0" w:space="0" w:color="auto"/>
                            <w:bottom w:val="none" w:sz="0" w:space="0" w:color="auto"/>
                            <w:right w:val="none" w:sz="0" w:space="0" w:color="auto"/>
                          </w:divBdr>
                          <w:divsChild>
                            <w:div w:id="1874460918">
                              <w:marLeft w:val="435"/>
                              <w:marRight w:val="105"/>
                              <w:marTop w:val="0"/>
                              <w:marBottom w:val="0"/>
                              <w:divBdr>
                                <w:top w:val="none" w:sz="0" w:space="0" w:color="auto"/>
                                <w:left w:val="none" w:sz="0" w:space="0" w:color="auto"/>
                                <w:bottom w:val="none" w:sz="0" w:space="0" w:color="auto"/>
                                <w:right w:val="none" w:sz="0" w:space="0" w:color="auto"/>
                              </w:divBdr>
                              <w:divsChild>
                                <w:div w:id="1139956899">
                                  <w:marLeft w:val="0"/>
                                  <w:marRight w:val="0"/>
                                  <w:marTop w:val="0"/>
                                  <w:marBottom w:val="0"/>
                                  <w:divBdr>
                                    <w:top w:val="none" w:sz="0" w:space="0" w:color="auto"/>
                                    <w:left w:val="none" w:sz="0" w:space="0" w:color="auto"/>
                                    <w:bottom w:val="none" w:sz="0" w:space="0" w:color="auto"/>
                                    <w:right w:val="none" w:sz="0" w:space="0" w:color="auto"/>
                                  </w:divBdr>
                                  <w:divsChild>
                                    <w:div w:id="931549615">
                                      <w:marLeft w:val="0"/>
                                      <w:marRight w:val="0"/>
                                      <w:marTop w:val="0"/>
                                      <w:marBottom w:val="0"/>
                                      <w:divBdr>
                                        <w:top w:val="none" w:sz="0" w:space="0" w:color="auto"/>
                                        <w:left w:val="none" w:sz="0" w:space="0" w:color="auto"/>
                                        <w:bottom w:val="none" w:sz="0" w:space="0" w:color="auto"/>
                                        <w:right w:val="none" w:sz="0" w:space="0" w:color="auto"/>
                                      </w:divBdr>
                                      <w:divsChild>
                                        <w:div w:id="103963549">
                                          <w:marLeft w:val="0"/>
                                          <w:marRight w:val="0"/>
                                          <w:marTop w:val="0"/>
                                          <w:marBottom w:val="0"/>
                                          <w:divBdr>
                                            <w:top w:val="none" w:sz="0" w:space="0" w:color="auto"/>
                                            <w:left w:val="none" w:sz="0" w:space="0" w:color="auto"/>
                                            <w:bottom w:val="none" w:sz="0" w:space="0" w:color="auto"/>
                                            <w:right w:val="none" w:sz="0" w:space="0" w:color="auto"/>
                                          </w:divBdr>
                                          <w:divsChild>
                                            <w:div w:id="302514967">
                                              <w:marLeft w:val="0"/>
                                              <w:marRight w:val="0"/>
                                              <w:marTop w:val="0"/>
                                              <w:marBottom w:val="0"/>
                                              <w:divBdr>
                                                <w:top w:val="none" w:sz="0" w:space="0" w:color="auto"/>
                                                <w:left w:val="none" w:sz="0" w:space="0" w:color="auto"/>
                                                <w:bottom w:val="none" w:sz="0" w:space="0" w:color="auto"/>
                                                <w:right w:val="none" w:sz="0" w:space="0" w:color="auto"/>
                                              </w:divBdr>
                                              <w:divsChild>
                                                <w:div w:id="1335911481">
                                                  <w:marLeft w:val="0"/>
                                                  <w:marRight w:val="0"/>
                                                  <w:marTop w:val="0"/>
                                                  <w:marBottom w:val="0"/>
                                                  <w:divBdr>
                                                    <w:top w:val="none" w:sz="0" w:space="0" w:color="auto"/>
                                                    <w:left w:val="none" w:sz="0" w:space="0" w:color="auto"/>
                                                    <w:bottom w:val="none" w:sz="0" w:space="0" w:color="auto"/>
                                                    <w:right w:val="none" w:sz="0" w:space="0" w:color="auto"/>
                                                  </w:divBdr>
                                                  <w:divsChild>
                                                    <w:div w:id="2129816572">
                                                      <w:marLeft w:val="0"/>
                                                      <w:marRight w:val="0"/>
                                                      <w:marTop w:val="0"/>
                                                      <w:marBottom w:val="0"/>
                                                      <w:divBdr>
                                                        <w:top w:val="none" w:sz="0" w:space="0" w:color="auto"/>
                                                        <w:left w:val="none" w:sz="0" w:space="0" w:color="auto"/>
                                                        <w:bottom w:val="none" w:sz="0" w:space="0" w:color="auto"/>
                                                        <w:right w:val="none" w:sz="0" w:space="0" w:color="auto"/>
                                                      </w:divBdr>
                                                      <w:divsChild>
                                                        <w:div w:id="897935117">
                                                          <w:marLeft w:val="0"/>
                                                          <w:marRight w:val="0"/>
                                                          <w:marTop w:val="0"/>
                                                          <w:marBottom w:val="0"/>
                                                          <w:divBdr>
                                                            <w:top w:val="none" w:sz="0" w:space="0" w:color="auto"/>
                                                            <w:left w:val="none" w:sz="0" w:space="0" w:color="auto"/>
                                                            <w:bottom w:val="none" w:sz="0" w:space="0" w:color="auto"/>
                                                            <w:right w:val="none" w:sz="0" w:space="0" w:color="auto"/>
                                                          </w:divBdr>
                                                          <w:divsChild>
                                                            <w:div w:id="1425489298">
                                                              <w:marLeft w:val="0"/>
                                                              <w:marRight w:val="0"/>
                                                              <w:marTop w:val="0"/>
                                                              <w:marBottom w:val="0"/>
                                                              <w:divBdr>
                                                                <w:top w:val="none" w:sz="0" w:space="0" w:color="auto"/>
                                                                <w:left w:val="none" w:sz="0" w:space="0" w:color="auto"/>
                                                                <w:bottom w:val="none" w:sz="0" w:space="0" w:color="auto"/>
                                                                <w:right w:val="none" w:sz="0" w:space="0" w:color="auto"/>
                                                              </w:divBdr>
                                                              <w:divsChild>
                                                                <w:div w:id="3925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4293093">
      <w:bodyDiv w:val="1"/>
      <w:marLeft w:val="0"/>
      <w:marRight w:val="0"/>
      <w:marTop w:val="0"/>
      <w:marBottom w:val="0"/>
      <w:divBdr>
        <w:top w:val="none" w:sz="0" w:space="0" w:color="auto"/>
        <w:left w:val="none" w:sz="0" w:space="0" w:color="auto"/>
        <w:bottom w:val="none" w:sz="0" w:space="0" w:color="auto"/>
        <w:right w:val="none" w:sz="0" w:space="0" w:color="auto"/>
      </w:divBdr>
    </w:div>
    <w:div w:id="681706259">
      <w:bodyDiv w:val="1"/>
      <w:marLeft w:val="0"/>
      <w:marRight w:val="0"/>
      <w:marTop w:val="0"/>
      <w:marBottom w:val="0"/>
      <w:divBdr>
        <w:top w:val="none" w:sz="0" w:space="0" w:color="auto"/>
        <w:left w:val="none" w:sz="0" w:space="0" w:color="auto"/>
        <w:bottom w:val="none" w:sz="0" w:space="0" w:color="auto"/>
        <w:right w:val="none" w:sz="0" w:space="0" w:color="auto"/>
      </w:divBdr>
    </w:div>
    <w:div w:id="812872428">
      <w:bodyDiv w:val="1"/>
      <w:marLeft w:val="0"/>
      <w:marRight w:val="0"/>
      <w:marTop w:val="0"/>
      <w:marBottom w:val="0"/>
      <w:divBdr>
        <w:top w:val="none" w:sz="0" w:space="0" w:color="auto"/>
        <w:left w:val="none" w:sz="0" w:space="0" w:color="auto"/>
        <w:bottom w:val="none" w:sz="0" w:space="0" w:color="auto"/>
        <w:right w:val="none" w:sz="0" w:space="0" w:color="auto"/>
      </w:divBdr>
      <w:divsChild>
        <w:div w:id="706565387">
          <w:marLeft w:val="0"/>
          <w:marRight w:val="0"/>
          <w:marTop w:val="0"/>
          <w:marBottom w:val="300"/>
          <w:divBdr>
            <w:top w:val="none" w:sz="0" w:space="0" w:color="auto"/>
            <w:left w:val="none" w:sz="0" w:space="0" w:color="auto"/>
            <w:bottom w:val="none" w:sz="0" w:space="0" w:color="auto"/>
            <w:right w:val="none" w:sz="0" w:space="0" w:color="auto"/>
          </w:divBdr>
          <w:divsChild>
            <w:div w:id="1956255480">
              <w:marLeft w:val="0"/>
              <w:marRight w:val="0"/>
              <w:marTop w:val="0"/>
              <w:marBottom w:val="0"/>
              <w:divBdr>
                <w:top w:val="none" w:sz="0" w:space="0" w:color="auto"/>
                <w:left w:val="single" w:sz="6" w:space="1" w:color="FFFFFF"/>
                <w:bottom w:val="none" w:sz="0" w:space="0" w:color="auto"/>
                <w:right w:val="single" w:sz="6" w:space="1" w:color="FFFFFF"/>
              </w:divBdr>
              <w:divsChild>
                <w:div w:id="2122410538">
                  <w:marLeft w:val="0"/>
                  <w:marRight w:val="0"/>
                  <w:marTop w:val="0"/>
                  <w:marBottom w:val="0"/>
                  <w:divBdr>
                    <w:top w:val="none" w:sz="0" w:space="0" w:color="auto"/>
                    <w:left w:val="none" w:sz="0" w:space="0" w:color="auto"/>
                    <w:bottom w:val="none" w:sz="0" w:space="0" w:color="auto"/>
                    <w:right w:val="none" w:sz="0" w:space="0" w:color="auto"/>
                  </w:divBdr>
                  <w:divsChild>
                    <w:div w:id="2006321152">
                      <w:marLeft w:val="0"/>
                      <w:marRight w:val="0"/>
                      <w:marTop w:val="0"/>
                      <w:marBottom w:val="0"/>
                      <w:divBdr>
                        <w:top w:val="none" w:sz="0" w:space="0" w:color="auto"/>
                        <w:left w:val="none" w:sz="0" w:space="0" w:color="auto"/>
                        <w:bottom w:val="none" w:sz="0" w:space="0" w:color="auto"/>
                        <w:right w:val="none" w:sz="0" w:space="0" w:color="auto"/>
                      </w:divBdr>
                      <w:divsChild>
                        <w:div w:id="1650093113">
                          <w:marLeft w:val="0"/>
                          <w:marRight w:val="0"/>
                          <w:marTop w:val="0"/>
                          <w:marBottom w:val="0"/>
                          <w:divBdr>
                            <w:top w:val="none" w:sz="0" w:space="0" w:color="auto"/>
                            <w:left w:val="none" w:sz="0" w:space="0" w:color="auto"/>
                            <w:bottom w:val="none" w:sz="0" w:space="0" w:color="auto"/>
                            <w:right w:val="none" w:sz="0" w:space="0" w:color="auto"/>
                          </w:divBdr>
                          <w:divsChild>
                            <w:div w:id="1273365280">
                              <w:marLeft w:val="0"/>
                              <w:marRight w:val="0"/>
                              <w:marTop w:val="0"/>
                              <w:marBottom w:val="0"/>
                              <w:divBdr>
                                <w:top w:val="none" w:sz="0" w:space="0" w:color="auto"/>
                                <w:left w:val="none" w:sz="0" w:space="0" w:color="auto"/>
                                <w:bottom w:val="none" w:sz="0" w:space="0" w:color="auto"/>
                                <w:right w:val="none" w:sz="0" w:space="0" w:color="auto"/>
                              </w:divBdr>
                              <w:divsChild>
                                <w:div w:id="31154094">
                                  <w:marLeft w:val="0"/>
                                  <w:marRight w:val="0"/>
                                  <w:marTop w:val="0"/>
                                  <w:marBottom w:val="0"/>
                                  <w:divBdr>
                                    <w:top w:val="none" w:sz="0" w:space="0" w:color="auto"/>
                                    <w:left w:val="none" w:sz="0" w:space="0" w:color="auto"/>
                                    <w:bottom w:val="none" w:sz="0" w:space="0" w:color="auto"/>
                                    <w:right w:val="none" w:sz="0" w:space="0" w:color="auto"/>
                                  </w:divBdr>
                                  <w:divsChild>
                                    <w:div w:id="4983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124250">
      <w:bodyDiv w:val="1"/>
      <w:marLeft w:val="0"/>
      <w:marRight w:val="0"/>
      <w:marTop w:val="0"/>
      <w:marBottom w:val="0"/>
      <w:divBdr>
        <w:top w:val="none" w:sz="0" w:space="0" w:color="auto"/>
        <w:left w:val="none" w:sz="0" w:space="0" w:color="auto"/>
        <w:bottom w:val="none" w:sz="0" w:space="0" w:color="auto"/>
        <w:right w:val="none" w:sz="0" w:space="0" w:color="auto"/>
      </w:divBdr>
      <w:divsChild>
        <w:div w:id="1106541028">
          <w:marLeft w:val="0"/>
          <w:marRight w:val="0"/>
          <w:marTop w:val="0"/>
          <w:marBottom w:val="300"/>
          <w:divBdr>
            <w:top w:val="none" w:sz="0" w:space="0" w:color="auto"/>
            <w:left w:val="none" w:sz="0" w:space="0" w:color="auto"/>
            <w:bottom w:val="none" w:sz="0" w:space="0" w:color="auto"/>
            <w:right w:val="none" w:sz="0" w:space="0" w:color="auto"/>
          </w:divBdr>
          <w:divsChild>
            <w:div w:id="670252825">
              <w:marLeft w:val="0"/>
              <w:marRight w:val="0"/>
              <w:marTop w:val="0"/>
              <w:marBottom w:val="0"/>
              <w:divBdr>
                <w:top w:val="none" w:sz="0" w:space="0" w:color="auto"/>
                <w:left w:val="single" w:sz="6" w:space="1" w:color="FFFFFF"/>
                <w:bottom w:val="none" w:sz="0" w:space="0" w:color="auto"/>
                <w:right w:val="single" w:sz="6" w:space="1" w:color="FFFFFF"/>
              </w:divBdr>
              <w:divsChild>
                <w:div w:id="445387445">
                  <w:marLeft w:val="0"/>
                  <w:marRight w:val="0"/>
                  <w:marTop w:val="0"/>
                  <w:marBottom w:val="0"/>
                  <w:divBdr>
                    <w:top w:val="none" w:sz="0" w:space="0" w:color="auto"/>
                    <w:left w:val="none" w:sz="0" w:space="0" w:color="auto"/>
                    <w:bottom w:val="none" w:sz="0" w:space="0" w:color="auto"/>
                    <w:right w:val="none" w:sz="0" w:space="0" w:color="auto"/>
                  </w:divBdr>
                  <w:divsChild>
                    <w:div w:id="1498570863">
                      <w:marLeft w:val="0"/>
                      <w:marRight w:val="0"/>
                      <w:marTop w:val="0"/>
                      <w:marBottom w:val="0"/>
                      <w:divBdr>
                        <w:top w:val="none" w:sz="0" w:space="0" w:color="auto"/>
                        <w:left w:val="none" w:sz="0" w:space="0" w:color="auto"/>
                        <w:bottom w:val="none" w:sz="0" w:space="0" w:color="auto"/>
                        <w:right w:val="none" w:sz="0" w:space="0" w:color="auto"/>
                      </w:divBdr>
                      <w:divsChild>
                        <w:div w:id="1614678132">
                          <w:marLeft w:val="0"/>
                          <w:marRight w:val="0"/>
                          <w:marTop w:val="0"/>
                          <w:marBottom w:val="0"/>
                          <w:divBdr>
                            <w:top w:val="none" w:sz="0" w:space="0" w:color="auto"/>
                            <w:left w:val="none" w:sz="0" w:space="0" w:color="auto"/>
                            <w:bottom w:val="none" w:sz="0" w:space="0" w:color="auto"/>
                            <w:right w:val="none" w:sz="0" w:space="0" w:color="auto"/>
                          </w:divBdr>
                          <w:divsChild>
                            <w:div w:id="175115264">
                              <w:marLeft w:val="0"/>
                              <w:marRight w:val="0"/>
                              <w:marTop w:val="0"/>
                              <w:marBottom w:val="0"/>
                              <w:divBdr>
                                <w:top w:val="none" w:sz="0" w:space="0" w:color="auto"/>
                                <w:left w:val="none" w:sz="0" w:space="0" w:color="auto"/>
                                <w:bottom w:val="none" w:sz="0" w:space="0" w:color="auto"/>
                                <w:right w:val="none" w:sz="0" w:space="0" w:color="auto"/>
                              </w:divBdr>
                              <w:divsChild>
                                <w:div w:id="1902981524">
                                  <w:marLeft w:val="0"/>
                                  <w:marRight w:val="0"/>
                                  <w:marTop w:val="0"/>
                                  <w:marBottom w:val="0"/>
                                  <w:divBdr>
                                    <w:top w:val="none" w:sz="0" w:space="0" w:color="auto"/>
                                    <w:left w:val="none" w:sz="0" w:space="0" w:color="auto"/>
                                    <w:bottom w:val="none" w:sz="0" w:space="0" w:color="auto"/>
                                    <w:right w:val="none" w:sz="0" w:space="0" w:color="auto"/>
                                  </w:divBdr>
                                  <w:divsChild>
                                    <w:div w:id="16761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179321">
      <w:bodyDiv w:val="1"/>
      <w:marLeft w:val="0"/>
      <w:marRight w:val="0"/>
      <w:marTop w:val="0"/>
      <w:marBottom w:val="0"/>
      <w:divBdr>
        <w:top w:val="none" w:sz="0" w:space="0" w:color="auto"/>
        <w:left w:val="none" w:sz="0" w:space="0" w:color="auto"/>
        <w:bottom w:val="none" w:sz="0" w:space="0" w:color="auto"/>
        <w:right w:val="none" w:sz="0" w:space="0" w:color="auto"/>
      </w:divBdr>
      <w:divsChild>
        <w:div w:id="1074283407">
          <w:marLeft w:val="0"/>
          <w:marRight w:val="0"/>
          <w:marTop w:val="0"/>
          <w:marBottom w:val="300"/>
          <w:divBdr>
            <w:top w:val="none" w:sz="0" w:space="0" w:color="auto"/>
            <w:left w:val="none" w:sz="0" w:space="0" w:color="auto"/>
            <w:bottom w:val="none" w:sz="0" w:space="0" w:color="auto"/>
            <w:right w:val="none" w:sz="0" w:space="0" w:color="auto"/>
          </w:divBdr>
          <w:divsChild>
            <w:div w:id="1765031788">
              <w:marLeft w:val="0"/>
              <w:marRight w:val="0"/>
              <w:marTop w:val="0"/>
              <w:marBottom w:val="0"/>
              <w:divBdr>
                <w:top w:val="none" w:sz="0" w:space="0" w:color="auto"/>
                <w:left w:val="single" w:sz="6" w:space="1" w:color="FFFFFF"/>
                <w:bottom w:val="none" w:sz="0" w:space="0" w:color="auto"/>
                <w:right w:val="single" w:sz="6" w:space="1" w:color="FFFFFF"/>
              </w:divBdr>
              <w:divsChild>
                <w:div w:id="1867139513">
                  <w:marLeft w:val="0"/>
                  <w:marRight w:val="0"/>
                  <w:marTop w:val="0"/>
                  <w:marBottom w:val="0"/>
                  <w:divBdr>
                    <w:top w:val="none" w:sz="0" w:space="0" w:color="auto"/>
                    <w:left w:val="none" w:sz="0" w:space="0" w:color="auto"/>
                    <w:bottom w:val="none" w:sz="0" w:space="0" w:color="auto"/>
                    <w:right w:val="none" w:sz="0" w:space="0" w:color="auto"/>
                  </w:divBdr>
                  <w:divsChild>
                    <w:div w:id="1789082464">
                      <w:marLeft w:val="0"/>
                      <w:marRight w:val="0"/>
                      <w:marTop w:val="0"/>
                      <w:marBottom w:val="0"/>
                      <w:divBdr>
                        <w:top w:val="none" w:sz="0" w:space="0" w:color="auto"/>
                        <w:left w:val="none" w:sz="0" w:space="0" w:color="auto"/>
                        <w:bottom w:val="none" w:sz="0" w:space="0" w:color="auto"/>
                        <w:right w:val="none" w:sz="0" w:space="0" w:color="auto"/>
                      </w:divBdr>
                      <w:divsChild>
                        <w:div w:id="1304580411">
                          <w:marLeft w:val="0"/>
                          <w:marRight w:val="0"/>
                          <w:marTop w:val="0"/>
                          <w:marBottom w:val="0"/>
                          <w:divBdr>
                            <w:top w:val="none" w:sz="0" w:space="0" w:color="auto"/>
                            <w:left w:val="none" w:sz="0" w:space="0" w:color="auto"/>
                            <w:bottom w:val="none" w:sz="0" w:space="0" w:color="auto"/>
                            <w:right w:val="none" w:sz="0" w:space="0" w:color="auto"/>
                          </w:divBdr>
                          <w:divsChild>
                            <w:div w:id="1693920318">
                              <w:marLeft w:val="0"/>
                              <w:marRight w:val="0"/>
                              <w:marTop w:val="0"/>
                              <w:marBottom w:val="0"/>
                              <w:divBdr>
                                <w:top w:val="none" w:sz="0" w:space="0" w:color="auto"/>
                                <w:left w:val="none" w:sz="0" w:space="0" w:color="auto"/>
                                <w:bottom w:val="none" w:sz="0" w:space="0" w:color="auto"/>
                                <w:right w:val="none" w:sz="0" w:space="0" w:color="auto"/>
                              </w:divBdr>
                              <w:divsChild>
                                <w:div w:id="1675109017">
                                  <w:marLeft w:val="0"/>
                                  <w:marRight w:val="0"/>
                                  <w:marTop w:val="0"/>
                                  <w:marBottom w:val="0"/>
                                  <w:divBdr>
                                    <w:top w:val="none" w:sz="0" w:space="0" w:color="auto"/>
                                    <w:left w:val="none" w:sz="0" w:space="0" w:color="auto"/>
                                    <w:bottom w:val="none" w:sz="0" w:space="0" w:color="auto"/>
                                    <w:right w:val="none" w:sz="0" w:space="0" w:color="auto"/>
                                  </w:divBdr>
                                  <w:divsChild>
                                    <w:div w:id="10901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501355">
      <w:bodyDiv w:val="1"/>
      <w:marLeft w:val="0"/>
      <w:marRight w:val="0"/>
      <w:marTop w:val="0"/>
      <w:marBottom w:val="0"/>
      <w:divBdr>
        <w:top w:val="none" w:sz="0" w:space="0" w:color="auto"/>
        <w:left w:val="none" w:sz="0" w:space="0" w:color="auto"/>
        <w:bottom w:val="none" w:sz="0" w:space="0" w:color="auto"/>
        <w:right w:val="none" w:sz="0" w:space="0" w:color="auto"/>
      </w:divBdr>
    </w:div>
    <w:div w:id="1902205571">
      <w:bodyDiv w:val="1"/>
      <w:marLeft w:val="0"/>
      <w:marRight w:val="0"/>
      <w:marTop w:val="0"/>
      <w:marBottom w:val="0"/>
      <w:divBdr>
        <w:top w:val="none" w:sz="0" w:space="0" w:color="auto"/>
        <w:left w:val="none" w:sz="0" w:space="0" w:color="auto"/>
        <w:bottom w:val="none" w:sz="0" w:space="0" w:color="auto"/>
        <w:right w:val="none" w:sz="0" w:space="0" w:color="auto"/>
      </w:divBdr>
    </w:div>
    <w:div w:id="2080781236">
      <w:bodyDiv w:val="1"/>
      <w:marLeft w:val="0"/>
      <w:marRight w:val="0"/>
      <w:marTop w:val="0"/>
      <w:marBottom w:val="0"/>
      <w:divBdr>
        <w:top w:val="none" w:sz="0" w:space="0" w:color="auto"/>
        <w:left w:val="none" w:sz="0" w:space="0" w:color="auto"/>
        <w:bottom w:val="none" w:sz="0" w:space="0" w:color="auto"/>
        <w:right w:val="none" w:sz="0" w:space="0" w:color="auto"/>
      </w:divBdr>
      <w:divsChild>
        <w:div w:id="2073001542">
          <w:marLeft w:val="0"/>
          <w:marRight w:val="0"/>
          <w:marTop w:val="0"/>
          <w:marBottom w:val="300"/>
          <w:divBdr>
            <w:top w:val="none" w:sz="0" w:space="0" w:color="auto"/>
            <w:left w:val="none" w:sz="0" w:space="0" w:color="auto"/>
            <w:bottom w:val="none" w:sz="0" w:space="0" w:color="auto"/>
            <w:right w:val="none" w:sz="0" w:space="0" w:color="auto"/>
          </w:divBdr>
          <w:divsChild>
            <w:div w:id="1152143102">
              <w:marLeft w:val="0"/>
              <w:marRight w:val="0"/>
              <w:marTop w:val="0"/>
              <w:marBottom w:val="0"/>
              <w:divBdr>
                <w:top w:val="none" w:sz="0" w:space="0" w:color="auto"/>
                <w:left w:val="single" w:sz="6" w:space="1" w:color="FFFFFF"/>
                <w:bottom w:val="none" w:sz="0" w:space="0" w:color="auto"/>
                <w:right w:val="single" w:sz="6" w:space="1" w:color="FFFFFF"/>
              </w:divBdr>
              <w:divsChild>
                <w:div w:id="254679584">
                  <w:marLeft w:val="0"/>
                  <w:marRight w:val="0"/>
                  <w:marTop w:val="0"/>
                  <w:marBottom w:val="0"/>
                  <w:divBdr>
                    <w:top w:val="none" w:sz="0" w:space="0" w:color="auto"/>
                    <w:left w:val="none" w:sz="0" w:space="0" w:color="auto"/>
                    <w:bottom w:val="none" w:sz="0" w:space="0" w:color="auto"/>
                    <w:right w:val="none" w:sz="0" w:space="0" w:color="auto"/>
                  </w:divBdr>
                  <w:divsChild>
                    <w:div w:id="944112464">
                      <w:marLeft w:val="0"/>
                      <w:marRight w:val="0"/>
                      <w:marTop w:val="0"/>
                      <w:marBottom w:val="0"/>
                      <w:divBdr>
                        <w:top w:val="none" w:sz="0" w:space="0" w:color="auto"/>
                        <w:left w:val="none" w:sz="0" w:space="0" w:color="auto"/>
                        <w:bottom w:val="none" w:sz="0" w:space="0" w:color="auto"/>
                        <w:right w:val="none" w:sz="0" w:space="0" w:color="auto"/>
                      </w:divBdr>
                      <w:divsChild>
                        <w:div w:id="480580200">
                          <w:marLeft w:val="0"/>
                          <w:marRight w:val="0"/>
                          <w:marTop w:val="0"/>
                          <w:marBottom w:val="0"/>
                          <w:divBdr>
                            <w:top w:val="none" w:sz="0" w:space="0" w:color="auto"/>
                            <w:left w:val="none" w:sz="0" w:space="0" w:color="auto"/>
                            <w:bottom w:val="none" w:sz="0" w:space="0" w:color="auto"/>
                            <w:right w:val="none" w:sz="0" w:space="0" w:color="auto"/>
                          </w:divBdr>
                          <w:divsChild>
                            <w:div w:id="448625226">
                              <w:marLeft w:val="0"/>
                              <w:marRight w:val="0"/>
                              <w:marTop w:val="0"/>
                              <w:marBottom w:val="0"/>
                              <w:divBdr>
                                <w:top w:val="none" w:sz="0" w:space="0" w:color="auto"/>
                                <w:left w:val="none" w:sz="0" w:space="0" w:color="auto"/>
                                <w:bottom w:val="none" w:sz="0" w:space="0" w:color="auto"/>
                                <w:right w:val="none" w:sz="0" w:space="0" w:color="auto"/>
                              </w:divBdr>
                              <w:divsChild>
                                <w:div w:id="1797066253">
                                  <w:marLeft w:val="0"/>
                                  <w:marRight w:val="0"/>
                                  <w:marTop w:val="0"/>
                                  <w:marBottom w:val="0"/>
                                  <w:divBdr>
                                    <w:top w:val="none" w:sz="0" w:space="0" w:color="auto"/>
                                    <w:left w:val="none" w:sz="0" w:space="0" w:color="auto"/>
                                    <w:bottom w:val="none" w:sz="0" w:space="0" w:color="auto"/>
                                    <w:right w:val="none" w:sz="0" w:space="0" w:color="auto"/>
                                  </w:divBdr>
                                  <w:divsChild>
                                    <w:div w:id="1620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003">
          <w:marLeft w:val="0"/>
          <w:marRight w:val="0"/>
          <w:marTop w:val="0"/>
          <w:marBottom w:val="300"/>
          <w:divBdr>
            <w:top w:val="none" w:sz="0" w:space="0" w:color="auto"/>
            <w:left w:val="none" w:sz="0" w:space="0" w:color="auto"/>
            <w:bottom w:val="none" w:sz="0" w:space="0" w:color="auto"/>
            <w:right w:val="none" w:sz="0" w:space="0" w:color="auto"/>
          </w:divBdr>
          <w:divsChild>
            <w:div w:id="251742028">
              <w:marLeft w:val="0"/>
              <w:marRight w:val="0"/>
              <w:marTop w:val="0"/>
              <w:marBottom w:val="0"/>
              <w:divBdr>
                <w:top w:val="none" w:sz="0" w:space="0" w:color="auto"/>
                <w:left w:val="single" w:sz="6" w:space="1" w:color="FFFFFF"/>
                <w:bottom w:val="none" w:sz="0" w:space="0" w:color="auto"/>
                <w:right w:val="single" w:sz="6" w:space="1" w:color="FFFFFF"/>
              </w:divBdr>
              <w:divsChild>
                <w:div w:id="1632708514">
                  <w:marLeft w:val="0"/>
                  <w:marRight w:val="0"/>
                  <w:marTop w:val="0"/>
                  <w:marBottom w:val="0"/>
                  <w:divBdr>
                    <w:top w:val="none" w:sz="0" w:space="0" w:color="auto"/>
                    <w:left w:val="none" w:sz="0" w:space="0" w:color="auto"/>
                    <w:bottom w:val="none" w:sz="0" w:space="0" w:color="auto"/>
                    <w:right w:val="none" w:sz="0" w:space="0" w:color="auto"/>
                  </w:divBdr>
                  <w:divsChild>
                    <w:div w:id="2098864433">
                      <w:marLeft w:val="0"/>
                      <w:marRight w:val="0"/>
                      <w:marTop w:val="0"/>
                      <w:marBottom w:val="0"/>
                      <w:divBdr>
                        <w:top w:val="none" w:sz="0" w:space="0" w:color="auto"/>
                        <w:left w:val="none" w:sz="0" w:space="0" w:color="auto"/>
                        <w:bottom w:val="none" w:sz="0" w:space="0" w:color="auto"/>
                        <w:right w:val="none" w:sz="0" w:space="0" w:color="auto"/>
                      </w:divBdr>
                      <w:divsChild>
                        <w:div w:id="248317418">
                          <w:marLeft w:val="0"/>
                          <w:marRight w:val="0"/>
                          <w:marTop w:val="0"/>
                          <w:marBottom w:val="0"/>
                          <w:divBdr>
                            <w:top w:val="none" w:sz="0" w:space="0" w:color="auto"/>
                            <w:left w:val="none" w:sz="0" w:space="0" w:color="auto"/>
                            <w:bottom w:val="none" w:sz="0" w:space="0" w:color="auto"/>
                            <w:right w:val="none" w:sz="0" w:space="0" w:color="auto"/>
                          </w:divBdr>
                          <w:divsChild>
                            <w:div w:id="735009725">
                              <w:marLeft w:val="0"/>
                              <w:marRight w:val="0"/>
                              <w:marTop w:val="0"/>
                              <w:marBottom w:val="0"/>
                              <w:divBdr>
                                <w:top w:val="none" w:sz="0" w:space="0" w:color="auto"/>
                                <w:left w:val="none" w:sz="0" w:space="0" w:color="auto"/>
                                <w:bottom w:val="none" w:sz="0" w:space="0" w:color="auto"/>
                                <w:right w:val="none" w:sz="0" w:space="0" w:color="auto"/>
                              </w:divBdr>
                              <w:divsChild>
                                <w:div w:id="1951273906">
                                  <w:marLeft w:val="0"/>
                                  <w:marRight w:val="0"/>
                                  <w:marTop w:val="0"/>
                                  <w:marBottom w:val="0"/>
                                  <w:divBdr>
                                    <w:top w:val="none" w:sz="0" w:space="0" w:color="auto"/>
                                    <w:left w:val="none" w:sz="0" w:space="0" w:color="auto"/>
                                    <w:bottom w:val="none" w:sz="0" w:space="0" w:color="auto"/>
                                    <w:right w:val="none" w:sz="0" w:space="0" w:color="auto"/>
                                  </w:divBdr>
                                  <w:divsChild>
                                    <w:div w:id="20354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32B9-4C30-485B-B5F4-811F1286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3111</Words>
  <Characters>18983</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Skatteministeriet</Company>
  <LinksUpToDate>false</LinksUpToDate>
  <CharactersWithSpaces>22050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Christoffer Grann</dc:creator>
  <cp:lastModifiedBy>Christoffer Grann</cp:lastModifiedBy>
  <cp:revision>2</cp:revision>
  <cp:lastPrinted>2014-02-24T13:05:00Z</cp:lastPrinted>
  <dcterms:created xsi:type="dcterms:W3CDTF">2014-02-24T17:01:00Z</dcterms:created>
  <dcterms:modified xsi:type="dcterms:W3CDTF">2014-02-24T17:01:00Z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C:\Users\w17685\AppData\Local\Temp\11\SJ20140224145338738 [DOK36342544].DOCX</vt:lpwstr>
  </property>
  <property fmtid="{D5CDD505-2E9C-101B-9397-08002B2CF9AE}" pid="3" name="title">
    <vt:lpwstr>Lovudkast.høring (DOK36342544)</vt:lpwstr>
  </property>
  <property fmtid="{D5CDD505-2E9C-101B-9397-08002B2CF9AE}" pid="4" name="command">
    <vt:lpwstr/>
  </property>
</Properties>
</file>